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5912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4677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О внесении изменений в постановление администрации города Магнитогорска от 14.11.2017 № 13561-П </w:t>
      </w: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color w:val="000000"/>
          <w:sz w:val="26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>В соответствии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28.12.2009 № 381-ФЗ «Об основах государственного регулирования торговой деятельности в Российской Федерации»,</w:t>
      </w:r>
      <w:r>
        <w:rPr>
          <w:rFonts w:ascii="PT Astra Serif" w:hAnsi="PT Astra Serif"/>
          <w:color w:val="000000"/>
          <w:sz w:val="26"/>
        </w:rPr>
        <w:t xml:space="preserve"> законами Челябинской области от 23.09.2010 № 638-ЗО 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от 09.04.2020 № 131-ЗО «О порядке и условиях размещения нестационарных торговых объектов на землях или земельных участках, находящихся в государственной собственности Челябинской области или муниципальной собственности, землях или земельных участках, государственная собственность на которые не разграничена, без предоставления земельных участков и установления сервитута, публичного сервитута», от 31.05.2023 № 841-ЗО «О внесении изменений в Закон Челябинской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сервитута», постановлением Правительства Челябинской области от 25.01.2016 № 5-П «О Порядке разработки и утверждения органами местного самоуправления схемы размещения нестационарных торговых объектов на земельных участках, в зданиях, </w:t>
      </w:r>
      <w:r>
        <w:rPr>
          <w:rFonts w:ascii="PT Astra Serif" w:hAnsi="PT Astra Serif"/>
          <w:color w:val="000000"/>
          <w:spacing w:val="-4"/>
          <w:sz w:val="26"/>
        </w:rPr>
        <w:t xml:space="preserve">строениях, сооружениях, находящихся в государственной или муниципальной </w:t>
      </w:r>
      <w:r>
        <w:rPr>
          <w:rFonts w:ascii="PT Astra Serif" w:hAnsi="PT Astra Serif"/>
          <w:color w:val="000000"/>
          <w:sz w:val="26"/>
        </w:rPr>
        <w:t>собственности»</w:t>
      </w:r>
      <w:r>
        <w:rPr>
          <w:rFonts w:ascii="PT Astra Serif" w:hAnsi="PT Astra Serif"/>
          <w:color w:val="000000"/>
          <w:spacing w:val="-4"/>
          <w:sz w:val="26"/>
        </w:rPr>
        <w:t>,</w:t>
      </w:r>
      <w:r>
        <w:rPr>
          <w:rFonts w:ascii="PT Astra Serif" w:hAnsi="PT Astra Serif"/>
          <w:color w:val="000000"/>
          <w:sz w:val="26"/>
        </w:rPr>
        <w:t xml:space="preserve"> Правил</w:t>
      </w:r>
      <w:r>
        <w:rPr>
          <w:rFonts w:ascii="PT Astra Serif" w:hAnsi="PT Astra Serif"/>
          <w:color w:val="000000"/>
          <w:sz w:val="26"/>
        </w:rPr>
        <w:t>ами</w:t>
      </w:r>
      <w:r>
        <w:rPr>
          <w:rFonts w:ascii="PT Astra Serif" w:hAnsi="PT Astra Serif"/>
          <w:color w:val="000000"/>
          <w:sz w:val="26"/>
        </w:rPr>
        <w:t xml:space="preserve"> благоустройства города Магнитогорска, утвержденны</w:t>
      </w:r>
      <w:r>
        <w:rPr>
          <w:rFonts w:ascii="PT Astra Serif" w:hAnsi="PT Astra Serif"/>
          <w:color w:val="000000"/>
          <w:sz w:val="26"/>
        </w:rPr>
        <w:t>ми</w:t>
      </w:r>
      <w:r>
        <w:rPr>
          <w:rFonts w:ascii="PT Astra Serif" w:hAnsi="PT Astra Serif"/>
          <w:color w:val="000000"/>
          <w:sz w:val="26"/>
        </w:rPr>
        <w:t xml:space="preserve"> Решением Магнитогорского городского Собрания депутатов от 31 октября 2017 года № 146, </w:t>
      </w:r>
      <w:r>
        <w:rPr>
          <w:rFonts w:ascii="PT Astra Serif" w:hAnsi="PT Astra Serif"/>
          <w:color w:val="000000"/>
          <w:spacing w:val="-4"/>
          <w:sz w:val="26"/>
        </w:rPr>
        <w:t>руководствуясь Уставом города Магнитогорска,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</w:p>
    <w:p w14:paraId="1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34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851" w:val="left"/>
          <w:tab w:leader="none" w:pos="993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>Внести в постановление администрации города Магнитогорска от 14.11.2017 № 13561-П «Об утверждении Схемы размещения нестационарных торговых объектов на территории города Магнитогорска» (далее – постановление) следующие изменения:</w:t>
      </w:r>
    </w:p>
    <w:p w14:paraId="13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№228-О по адресу: г. Магнитогорск, ост. авт., в районе здания № 23 по ул. Труда, в связи с расположением места размещения на газоне,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в соответствии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от 31 октября 2017 года № 146»; </w:t>
      </w:r>
    </w:p>
    <w:p w14:paraId="14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№58-О по адресу: г. Магнитогорск, остановка общественного транспорта "Курортная поликлиника" по ул. Советская, 199, в связи с расположением места размещения на газоне, в соответствии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от 31 октября 2017 года № 146»; </w:t>
      </w:r>
    </w:p>
    <w:p w14:paraId="15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№199-О по адресу: г. Магнитогорск, в районе Левобережного кладбища, в связи с расположением места размещения на газоне,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в соответствии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от 31 октября 2017 года № 146»; </w:t>
      </w:r>
    </w:p>
    <w:p w14:paraId="16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>в приложении №1 к постановлению исключить строку номер по порядку во второй графе Схемы №212-О по адресу: г. Магнитогорск, ост. авт., в районе здания № 181 по пр. К. Маркса, в связи с расположением места размещения в охранной зоне ливневой канализации d500мм. (акт осмотра места размещения нестационарного торгового объекта №23-2026 от 14.04.2026);</w:t>
      </w:r>
    </w:p>
    <w:p w14:paraId="17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№312-О по адресу: г. Магнитогорск,  по ул. Чкалова,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в районе МУЗ «Городская больница № 1 им. Г.И. Дробышева», в связи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с расположением места размещения на газоне, в соответствии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от 31 октября 2017 года № 146»; </w:t>
      </w:r>
    </w:p>
    <w:p w14:paraId="18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№101-О по адресу: г. Магнитогорск, ост. авт., в районе здания № 21 по ул. Жукова, в связи с расположением места размещения на газоне, в соответствии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от 31 октября 2017 года № 146»; </w:t>
      </w:r>
    </w:p>
    <w:p w14:paraId="19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6"/>
        </w:rPr>
        <w:t xml:space="preserve">в приложении №1 к постановлению исключить строку номер по порядку во второй графе Схемы №287-О по адресу: г. Магнитогорск, ост. тр. «8-е Марта»,  по ул. 8-е Марта, в связи с расположением места размещения на газоне,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>в соответств</w:t>
      </w:r>
      <w:r>
        <w:rPr>
          <w:rFonts w:ascii="PT Astra Serif" w:hAnsi="PT Astra Serif"/>
          <w:color w:val="000000"/>
          <w:sz w:val="26"/>
        </w:rPr>
        <w:t xml:space="preserve">ии с пунктом 93 Правил благоустройства территории города Магнитогорска, утвержденных Решением Магнитогорского городского Собрания депутатов Челябинской области от 31 октября 2017 года № 146»; </w:t>
      </w:r>
    </w:p>
    <w:p w14:paraId="1A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в связи с заключением договора на размещение НТО от 23.03.2026 № 548 в приложении № 1 изложить строку номер по порядку во второй графе Схемы №351-О в следующей редакции: </w:t>
      </w:r>
    </w:p>
    <w:tbl>
      <w:tblPr>
        <w:tblStyle w:val="Style_5"/>
        <w:tblW w:type="auto" w:w="0"/>
        <w:jc w:val="left"/>
        <w:tblInd w:type="dxa" w:w="-38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2"/>
        <w:gridCol w:w="585"/>
        <w:gridCol w:w="1180"/>
        <w:gridCol w:w="1112"/>
        <w:gridCol w:w="999"/>
        <w:gridCol w:w="694"/>
        <w:gridCol w:w="862"/>
        <w:gridCol w:w="1698"/>
        <w:gridCol w:w="388"/>
        <w:gridCol w:w="1002"/>
        <w:gridCol w:w="1133"/>
      </w:tblGrid>
      <w:tr>
        <w:trPr>
          <w:trHeight w:hRule="atLeast" w:val="1423"/>
        </w:trPr>
        <w:tc>
          <w:tcPr>
            <w:tcW w:type="dxa" w:w="26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3"/>
              <w:widowControl w:val="1"/>
              <w:tabs>
                <w:tab w:leader="none" w:pos="142" w:val="left"/>
                <w:tab w:leader="none" w:pos="708" w:val="clear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C9211E"/>
                <w:sz w:val="18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351-О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 ул. Ворошилова, в районе здания № 4</w:t>
            </w:r>
          </w:p>
        </w:tc>
        <w:tc>
          <w:tcPr>
            <w:tcW w:type="dxa" w:w="1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 универсальный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74:33:0303001:8294</w:t>
            </w:r>
          </w:p>
        </w:tc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94</w:t>
            </w:r>
          </w:p>
        </w:tc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 23.03.2026 до 22.03.2033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ИП Валиев Телман Магамедали оглы, ИНН 744600127515 ОГРН 304744636200030</w:t>
            </w:r>
          </w:p>
        </w:tc>
        <w:tc>
          <w:tcPr>
            <w:tcW w:type="dxa" w:w="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да</w:t>
            </w:r>
          </w:p>
        </w:tc>
        <w:tc>
          <w:tcPr>
            <w:tcW w:type="dxa" w:w="1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pStyle w:val="Style_6"/>
              <w:widowControl w:val="1"/>
              <w:spacing w:after="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Разме</w:t>
            </w:r>
          </w:p>
          <w:p w14:paraId="2500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щение торгового павильона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pStyle w:val="Style_6"/>
              <w:widowControl w:val="1"/>
              <w:spacing w:after="200" w:before="0"/>
              <w:ind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государ</w:t>
            </w:r>
            <w:r>
              <w:rPr>
                <w:rFonts w:ascii="PT Astra Serif" w:hAnsi="PT Astra Serif"/>
                <w:color w:val="000000"/>
                <w:spacing w:val="-10"/>
              </w:rPr>
              <w:t>ственная</w:t>
            </w:r>
            <w:r>
              <w:rPr>
                <w:rFonts w:ascii="PT Astra Serif" w:hAnsi="PT Astra Serif"/>
                <w:color w:val="000000"/>
              </w:rPr>
              <w:t xml:space="preserve"> неразграниченная</w:t>
            </w:r>
          </w:p>
        </w:tc>
      </w:tr>
    </w:tbl>
    <w:p w14:paraId="27000000">
      <w:pPr>
        <w:pStyle w:val="Style_4"/>
        <w:widowControl w:val="1"/>
        <w:numPr>
          <w:ilvl w:val="0"/>
          <w:numId w:val="2"/>
        </w:numPr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в связи с заключением договора на размещение НТО от 23.03.2026 № 548 в приложении № 1 изложить строку номер по порядку во второй графе Схемы №104-О в следующей редакции: </w:t>
      </w:r>
    </w:p>
    <w:tbl>
      <w:tblPr>
        <w:tblStyle w:val="Style_5"/>
        <w:tblW w:type="auto" w:w="0"/>
        <w:jc w:val="left"/>
        <w:tblInd w:type="dxa" w:w="-38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2"/>
        <w:gridCol w:w="585"/>
        <w:gridCol w:w="1179"/>
        <w:gridCol w:w="1113"/>
        <w:gridCol w:w="998"/>
        <w:gridCol w:w="695"/>
        <w:gridCol w:w="862"/>
        <w:gridCol w:w="1697"/>
        <w:gridCol w:w="389"/>
        <w:gridCol w:w="1001"/>
        <w:gridCol w:w="1134"/>
      </w:tblGrid>
      <w:tr>
        <w:trPr>
          <w:trHeight w:hRule="atLeast" w:val="1423"/>
        </w:trPr>
        <w:tc>
          <w:tcPr>
            <w:tcW w:type="dxa" w:w="26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3"/>
              <w:widowControl w:val="1"/>
              <w:numPr>
                <w:ilvl w:val="0"/>
                <w:numId w:val="2"/>
              </w:numPr>
              <w:tabs>
                <w:tab w:leader="none" w:pos="142" w:val="left"/>
                <w:tab w:leader="none" w:pos="708" w:val="clear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C9211E"/>
                <w:sz w:val="18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104-О</w:t>
            </w: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 ул. Ворошилова, в районе здания № 4</w:t>
            </w:r>
          </w:p>
        </w:tc>
        <w:tc>
          <w:tcPr>
            <w:tcW w:type="dxa" w:w="1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 универсальный</w:t>
            </w:r>
          </w:p>
        </w:tc>
        <w:tc>
          <w:tcPr>
            <w:tcW w:type="dxa" w:w="99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68 74:33:0303001:251</w:t>
            </w:r>
          </w:p>
        </w:tc>
        <w:tc>
          <w:tcPr>
            <w:tcW w:type="dxa" w:w="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68</w:t>
            </w:r>
          </w:p>
        </w:tc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 23.03.2026 до 22.03.2033</w:t>
            </w:r>
          </w:p>
        </w:tc>
        <w:tc>
          <w:tcPr>
            <w:tcW w:type="dxa" w:w="1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ИП Валиев Телман Магамедали оглы, ИНН 744600127515 ОГРН 304744636200030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да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размещение торгового павильона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pStyle w:val="Style_6"/>
              <w:widowControl w:val="1"/>
              <w:spacing w:after="200" w:before="0"/>
              <w:ind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государственная неразграниченная</w:t>
            </w:r>
          </w:p>
        </w:tc>
      </w:tr>
    </w:tbl>
    <w:p w14:paraId="33000000">
      <w:pPr>
        <w:pStyle w:val="Style_4"/>
        <w:widowControl w:val="1"/>
        <w:tabs>
          <w:tab w:leader="none" w:pos="142" w:val="left"/>
          <w:tab w:leader="none" w:pos="284" w:val="left"/>
          <w:tab w:leader="none" w:pos="567" w:val="left"/>
          <w:tab w:leader="none" w:pos="708" w:val="clear"/>
          <w:tab w:leader="none" w:pos="1134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 xml:space="preserve">10) в связи с заключением договора на размещение НТО от 16.02.2026 № 546 в приложении № 1 изложить строку номер по порядку во второй графе Схемы №106-О в следующей редакции: </w:t>
      </w:r>
    </w:p>
    <w:tbl>
      <w:tblPr>
        <w:tblStyle w:val="Style_5"/>
        <w:tblW w:type="auto" w:w="0"/>
        <w:jc w:val="left"/>
        <w:tblInd w:type="dxa" w:w="-38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2"/>
        <w:gridCol w:w="585"/>
        <w:gridCol w:w="1180"/>
        <w:gridCol w:w="1112"/>
        <w:gridCol w:w="999"/>
        <w:gridCol w:w="694"/>
        <w:gridCol w:w="862"/>
        <w:gridCol w:w="1698"/>
        <w:gridCol w:w="388"/>
        <w:gridCol w:w="1002"/>
        <w:gridCol w:w="1133"/>
      </w:tblGrid>
      <w:tr>
        <w:trPr>
          <w:trHeight w:hRule="atLeast" w:val="1423"/>
        </w:trPr>
        <w:tc>
          <w:tcPr>
            <w:tcW w:type="dxa" w:w="26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pStyle w:val="Style_3"/>
              <w:widowControl w:val="1"/>
              <w:tabs>
                <w:tab w:leader="none" w:pos="142" w:val="left"/>
                <w:tab w:leader="none" w:pos="708" w:val="clear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C9211E"/>
                <w:sz w:val="18"/>
              </w:rPr>
            </w:pPr>
          </w:p>
        </w:tc>
        <w:tc>
          <w:tcPr>
            <w:tcW w:type="dxa" w:w="5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106-О</w:t>
            </w:r>
          </w:p>
        </w:tc>
        <w:tc>
          <w:tcPr>
            <w:tcW w:type="dxa" w:w="1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 ул. Ворошилова, в районе здания № 18</w:t>
            </w:r>
          </w:p>
        </w:tc>
        <w:tc>
          <w:tcPr>
            <w:tcW w:type="dxa" w:w="1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торговый </w:t>
            </w:r>
            <w:r>
              <w:rPr>
                <w:rFonts w:ascii="PT Astra Serif" w:hAnsi="PT Astra Serif"/>
                <w:color w:val="000000"/>
                <w:spacing w:val="-6"/>
              </w:rPr>
              <w:t>павильо</w:t>
            </w:r>
            <w:r>
              <w:rPr>
                <w:rFonts w:ascii="PT Astra Serif" w:hAnsi="PT Astra Serif"/>
                <w:color w:val="000000"/>
                <w:spacing w:val="-6"/>
              </w:rPr>
              <w:t>н</w:t>
            </w:r>
            <w:r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>
              <w:rPr>
                <w:rFonts w:ascii="PT Astra Serif" w:hAnsi="PT Astra Serif"/>
                <w:color w:val="000000"/>
              </w:rPr>
              <w:t>универсальный</w:t>
            </w:r>
          </w:p>
        </w:tc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 74:33:0303001:49 46 74:33:0303001:8304</w:t>
            </w:r>
          </w:p>
        </w:tc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70</w:t>
            </w:r>
          </w:p>
        </w:tc>
        <w:tc>
          <w:tcPr>
            <w:tcW w:type="dxa" w:w="8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 16.02.2026 до 11.02.2028</w:t>
            </w:r>
          </w:p>
        </w:tc>
        <w:tc>
          <w:tcPr>
            <w:tcW w:type="dxa" w:w="1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ИП Халимов Эльдар Александрович ИНН 745600096570, ОГРН 322745600039136.</w:t>
            </w:r>
          </w:p>
        </w:tc>
        <w:tc>
          <w:tcPr>
            <w:tcW w:type="dxa" w:w="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да</w:t>
            </w:r>
          </w:p>
        </w:tc>
        <w:tc>
          <w:tcPr>
            <w:tcW w:type="dxa" w:w="10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pStyle w:val="Style_6"/>
              <w:widowControl w:val="1"/>
              <w:spacing w:after="200" w:before="0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размещение торгового павильона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6"/>
              <w:widowControl w:val="1"/>
              <w:spacing w:after="200" w:before="0"/>
              <w:ind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государственная неразграниченная</w:t>
            </w:r>
          </w:p>
        </w:tc>
      </w:tr>
    </w:tbl>
    <w:p w14:paraId="3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 xml:space="preserve">2. 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Настоящее постановление вступает в силу после его официального опубликования. </w:t>
      </w:r>
    </w:p>
    <w:p w14:paraId="4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Службе внешних связей и молодёжной политики администрации города </w:t>
      </w:r>
      <w:r>
        <w:rPr>
          <w:rFonts w:ascii="PT Astra Serif" w:hAnsi="PT Astra Serif"/>
          <w:sz w:val="26"/>
        </w:rPr>
        <w:t xml:space="preserve">Магнитогорска </w:t>
      </w:r>
      <w:r>
        <w:rPr>
          <w:rFonts w:ascii="PT Astra Serif" w:hAnsi="PT Astra Serif"/>
          <w:sz w:val="26"/>
        </w:rPr>
        <w:t>(</w:t>
      </w:r>
      <w:r>
        <w:rPr>
          <w:rFonts w:ascii="PT Astra Serif" w:hAnsi="PT Astra Serif"/>
          <w:sz w:val="26"/>
        </w:rPr>
        <w:t>Числова Г.Д</w:t>
      </w:r>
      <w:r>
        <w:rPr>
          <w:rFonts w:ascii="PT Astra Serif" w:hAnsi="PT Astra Serif"/>
          <w:sz w:val="26"/>
        </w:rPr>
        <w:t>.) опубликовать настоящее постановление в средствах массовой информации.</w:t>
      </w:r>
    </w:p>
    <w:p w14:paraId="4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Управлению экономики и инвестиций администрации города </w:t>
      </w:r>
      <w:r>
        <w:rPr>
          <w:rFonts w:ascii="PT Astra Serif" w:hAnsi="PT Astra Serif"/>
          <w:sz w:val="26"/>
        </w:rPr>
        <w:t xml:space="preserve">Магнитогорска </w:t>
      </w:r>
      <w:r>
        <w:rPr>
          <w:rFonts w:ascii="PT Astra Serif" w:hAnsi="PT Astra Serif"/>
          <w:sz w:val="26"/>
        </w:rPr>
        <w:t xml:space="preserve">(Матлюк М.К.) разместить настоящее постановление на сайте администрации города </w:t>
      </w:r>
      <w:r>
        <w:rPr>
          <w:rFonts w:ascii="PT Astra Serif" w:hAnsi="PT Astra Serif"/>
          <w:sz w:val="26"/>
        </w:rPr>
        <w:t xml:space="preserve">Магнитогорска </w:t>
      </w:r>
      <w:r>
        <w:rPr>
          <w:rFonts w:ascii="PT Astra Serif" w:hAnsi="PT Astra Serif"/>
          <w:sz w:val="26"/>
        </w:rPr>
        <w:t xml:space="preserve">и в срок не более десяти рабочих дней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со дня утверждения настоящего постановления направить настоящее постановление в Министерство экономического развития Челябинской области.</w:t>
      </w:r>
    </w:p>
    <w:p w14:paraId="4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>5.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sz w:val="26"/>
        </w:rPr>
        <w:t>Г</w:t>
      </w:r>
      <w:r>
        <w:rPr>
          <w:rFonts w:ascii="PT Astra Serif" w:hAnsi="PT Astra Serif"/>
          <w:sz w:val="26"/>
        </w:rPr>
        <w:t xml:space="preserve">лавы города </w:t>
      </w:r>
      <w:r>
        <w:rPr>
          <w:rFonts w:ascii="PT Astra Serif" w:hAnsi="PT Astra Serif"/>
          <w:sz w:val="26"/>
        </w:rPr>
        <w:t xml:space="preserve">Магнитогорска </w:t>
      </w:r>
      <w:r>
        <w:rPr>
          <w:rFonts w:ascii="PT Astra Serif" w:hAnsi="PT Astra Serif"/>
          <w:sz w:val="26"/>
        </w:rPr>
        <w:t>Хабибуллину Д.Х.</w:t>
      </w:r>
    </w:p>
    <w:p w14:paraId="4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rFonts w:ascii="PT Astra Serif" w:hAnsi="PT Astra Serif"/>
          <w:sz w:val="26"/>
        </w:rPr>
      </w:pPr>
    </w:p>
    <w:p w14:paraId="4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rFonts w:ascii="PT Astra Serif" w:hAnsi="PT Astra Serif"/>
          <w:sz w:val="26"/>
        </w:rPr>
      </w:pPr>
    </w:p>
    <w:p w14:paraId="4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rFonts w:ascii="PT Astra Serif" w:hAnsi="PT Astra Serif"/>
          <w:sz w:val="26"/>
        </w:rPr>
      </w:pPr>
    </w:p>
    <w:p w14:paraId="46000000">
      <w:pPr>
        <w:pStyle w:val="Style_3"/>
        <w:widowControl w:val="1"/>
        <w:tabs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  <w:sz w:val="26"/>
        </w:rPr>
        <w:t xml:space="preserve">Глава города </w:t>
      </w:r>
      <w:r>
        <w:rPr>
          <w:rFonts w:ascii="PT Astra Serif" w:hAnsi="PT Astra Serif"/>
          <w:sz w:val="26"/>
        </w:rPr>
        <w:t xml:space="preserve">Магнитогорска </w:t>
      </w:r>
      <w:r>
        <w:rPr>
          <w:rFonts w:ascii="PT Astra Serif" w:hAnsi="PT Astra Serif"/>
          <w:sz w:val="26"/>
        </w:rPr>
        <w:t xml:space="preserve">                                                                  С.Н. Бердников</w:t>
      </w:r>
    </w:p>
    <w:p w14:paraId="4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sz w:val="22"/>
        </w:rPr>
      </w:pPr>
    </w:p>
    <w:sectPr>
      <w:headerReference r:id="rId1" w:type="default"/>
      <w:headerReference r:id="rId5" w:type="first"/>
      <w:headerReference r:id="rId3" w:type="even"/>
      <w:footerReference r:id="rId2" w:type="default"/>
      <w:footerReference r:id="rId6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Вр-2391439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070"/>
      </w:pPr>
      <w:rPr>
        <w:rFonts w:ascii="PT Astra Serif" w:hAnsi="PT Astra Serif"/>
        <w:sz w:val="26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1070"/>
      </w:pPr>
      <w:rPr>
        <w:rFonts w:ascii="PT Astra Serif" w:hAnsi="PT Astra Serif"/>
        <w:b w:val="0"/>
        <w:sz w:val="26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9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1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3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5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7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9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1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3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7" w:type="paragraph">
    <w:name w:val="toc 2"/>
    <w:next w:val="Style_3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List"/>
    <w:basedOn w:val="Style_9"/>
    <w:link w:val="Style_8_ch"/>
    <w:rPr>
      <w:rFonts w:ascii="PT Astra Serif" w:hAnsi="PT Astra Serif"/>
    </w:rPr>
  </w:style>
  <w:style w:styleId="Style_8_ch" w:type="character">
    <w:name w:val="List"/>
    <w:basedOn w:val="Style_9_ch"/>
    <w:link w:val="Style_8"/>
    <w:rPr>
      <w:rFonts w:ascii="PT Astra Serif" w:hAnsi="PT Astra Serif"/>
    </w:rPr>
  </w:style>
  <w:style w:styleId="Style_10" w:type="paragraph">
    <w:name w:val="toc 4"/>
    <w:next w:val="Style_3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3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6" w:type="paragraph">
    <w:name w:val="Содержимое таблицы (user)"/>
    <w:basedOn w:val="Style_3"/>
    <w:link w:val="Style_6_ch"/>
    <w:pPr>
      <w:widowControl w:val="0"/>
      <w:ind/>
    </w:pPr>
  </w:style>
  <w:style w:styleId="Style_6_ch" w:type="character">
    <w:name w:val="Содержимое таблицы (user)"/>
    <w:basedOn w:val="Style_3_ch"/>
    <w:link w:val="Style_6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5" w:type="paragraph">
    <w:name w:val="Указатель"/>
    <w:basedOn w:val="Style_3"/>
    <w:link w:val="Style_15_ch"/>
    <w:rPr>
      <w:rFonts w:ascii="PT Astra Serif" w:hAnsi="PT Astra Serif"/>
    </w:rPr>
  </w:style>
  <w:style w:styleId="Style_15_ch" w:type="character">
    <w:name w:val="Указатель"/>
    <w:basedOn w:val="Style_3_ch"/>
    <w:link w:val="Style_15"/>
    <w:rPr>
      <w:rFonts w:ascii="PT Astra Serif" w:hAnsi="PT Astra Serif"/>
    </w:rPr>
  </w:style>
  <w:style w:styleId="Style_16" w:type="paragraph">
    <w:name w:val="Balloon Text"/>
    <w:basedOn w:val="Style_3"/>
    <w:link w:val="Style_1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Заголовок таблицы (user)"/>
    <w:basedOn w:val="Style_6"/>
    <w:link w:val="Style_18_ch"/>
    <w:pPr>
      <w:widowControl w:val="1"/>
      <w:ind/>
      <w:jc w:val="center"/>
    </w:pPr>
    <w:rPr>
      <w:b w:val="1"/>
    </w:rPr>
  </w:style>
  <w:style w:styleId="Style_18_ch" w:type="character">
    <w:name w:val="Заголовок таблицы (user)"/>
    <w:basedOn w:val="Style_6_ch"/>
    <w:link w:val="Style_18"/>
    <w:rPr>
      <w:b w:val="1"/>
    </w:rPr>
  </w:style>
  <w:style w:styleId="Style_19" w:type="paragraph">
    <w:name w:val="Нижний колонтитул Знак"/>
    <w:basedOn w:val="Style_20"/>
    <w:link w:val="Style_19_ch"/>
  </w:style>
  <w:style w:styleId="Style_19_ch" w:type="character">
    <w:name w:val="Нижний колонтитул Знак"/>
    <w:basedOn w:val="Style_20_ch"/>
    <w:link w:val="Style_19"/>
  </w:style>
  <w:style w:styleId="Style_21" w:type="paragraph">
    <w:name w:val="caption"/>
    <w:basedOn w:val="Style_3"/>
    <w:link w:val="Style_21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3_ch"/>
    <w:link w:val="Style_21"/>
    <w:rPr>
      <w:rFonts w:ascii="PT Astra Serif" w:hAnsi="PT Astra Serif"/>
      <w:i w:val="1"/>
      <w:sz w:val="24"/>
    </w:rPr>
  </w:style>
  <w:style w:styleId="Style_22" w:type="paragraph">
    <w:name w:val="Верхний колонтитул Знак"/>
    <w:basedOn w:val="Style_20"/>
    <w:link w:val="Style_22_ch"/>
  </w:style>
  <w:style w:styleId="Style_22_ch" w:type="character">
    <w:name w:val="Верхний колонтитул Знак"/>
    <w:basedOn w:val="Style_20_ch"/>
    <w:link w:val="Style_22"/>
  </w:style>
  <w:style w:styleId="Style_23" w:type="paragraph">
    <w:name w:val="heading 5"/>
    <w:next w:val="Style_3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Заголовок"/>
    <w:basedOn w:val="Style_3"/>
    <w:next w:val="Style_9"/>
    <w:link w:val="Style_2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3_ch"/>
    <w:link w:val="Style_24"/>
    <w:rPr>
      <w:rFonts w:ascii="PT Astra Serif" w:hAnsi="PT Astra Serif"/>
      <w:sz w:val="28"/>
    </w:rPr>
  </w:style>
  <w:style w:styleId="Style_25" w:type="paragraph">
    <w:name w:val="heading 1"/>
    <w:next w:val="Style_3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3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9" w:type="paragraph">
    <w:name w:val="Body Text"/>
    <w:basedOn w:val="Style_3"/>
    <w:link w:val="Style_9_ch"/>
    <w:pPr>
      <w:widowControl w:val="1"/>
      <w:spacing w:after="140" w:before="0" w:line="276" w:lineRule="auto"/>
      <w:ind/>
    </w:pPr>
  </w:style>
  <w:style w:styleId="Style_9_ch" w:type="character">
    <w:name w:val="Body Text"/>
    <w:basedOn w:val="Style_3_ch"/>
    <w:link w:val="Style_9"/>
  </w:style>
  <w:style w:styleId="Style_4" w:type="paragraph">
    <w:name w:val="List Paragraph"/>
    <w:basedOn w:val="Style_3"/>
    <w:link w:val="Style_4_ch"/>
    <w:pPr>
      <w:widowControl w:val="1"/>
      <w:spacing w:after="200" w:before="0"/>
      <w:ind w:left="720"/>
      <w:contextualSpacing w:val="1"/>
    </w:pPr>
  </w:style>
  <w:style w:styleId="Style_4_ch" w:type="character">
    <w:name w:val="List Paragraph"/>
    <w:basedOn w:val="Style_3_ch"/>
    <w:link w:val="Style_4"/>
  </w:style>
  <w:style w:styleId="Style_30" w:type="paragraph">
    <w:name w:val="toc 9"/>
    <w:next w:val="Style_3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3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32" w:type="paragraph">
    <w:name w:val="Заголовок (user)"/>
    <w:basedOn w:val="Style_3"/>
    <w:next w:val="Style_9"/>
    <w:link w:val="Style_3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2_ch" w:type="character">
    <w:name w:val="Заголовок (user)"/>
    <w:basedOn w:val="Style_3_ch"/>
    <w:link w:val="Style_32"/>
    <w:rPr>
      <w:rFonts w:ascii="PT Astra Serif" w:hAnsi="PT Astra Serif"/>
      <w:sz w:val="28"/>
    </w:rPr>
  </w:style>
  <w:style w:styleId="Style_33" w:type="paragraph">
    <w:name w:val="toc 5"/>
    <w:next w:val="Style_3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Колонтитул"/>
    <w:basedOn w:val="Style_3"/>
    <w:link w:val="Style_34_ch"/>
  </w:style>
  <w:style w:styleId="Style_34_ch" w:type="character">
    <w:name w:val="Колонтитул"/>
    <w:basedOn w:val="Style_3_ch"/>
    <w:link w:val="Style_34"/>
  </w:style>
  <w:style w:styleId="Style_35" w:type="paragraph">
    <w:name w:val="Subtitle"/>
    <w:next w:val="Style_3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Колонтитулы"/>
    <w:basedOn w:val="Style_3"/>
    <w:link w:val="Style_36_ch"/>
  </w:style>
  <w:style w:styleId="Style_36_ch" w:type="character">
    <w:name w:val="Колонтитулы"/>
    <w:basedOn w:val="Style_3_ch"/>
    <w:link w:val="Style_36"/>
  </w:style>
  <w:style w:styleId="Style_37" w:type="paragraph">
    <w:name w:val="Title"/>
    <w:next w:val="Style_3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3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Указатель (user)"/>
    <w:basedOn w:val="Style_3"/>
    <w:link w:val="Style_39_ch"/>
    <w:rPr>
      <w:rFonts w:ascii="PT Astra Serif" w:hAnsi="PT Astra Serif"/>
    </w:rPr>
  </w:style>
  <w:style w:styleId="Style_39_ch" w:type="character">
    <w:name w:val="Указатель (user)"/>
    <w:basedOn w:val="Style_3_ch"/>
    <w:link w:val="Style_39"/>
    <w:rPr>
      <w:rFonts w:ascii="PT Astra Serif" w:hAnsi="PT Astra Serif"/>
    </w:rPr>
  </w:style>
  <w:style w:styleId="Style_40" w:type="paragraph">
    <w:name w:val="heading 2"/>
    <w:next w:val="Style_3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2026-08-14T09:05:29Z</dcterms:modified>
</cp:coreProperties>
</file>