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0"/>
        <w:ind/>
        <w:jc w:val="center"/>
        <w:rPr>
          <w:sz w:val="28"/>
        </w:rPr>
      </w:pPr>
      <w:r>
        <w:rPr>
          <w:sz w:val="28"/>
        </w:rPr>
        <w:t>АДМИНИСТРАЦИЯ ГОРОДА МАГНИТОГОРСКА</w:t>
      </w:r>
    </w:p>
    <w:p w14:paraId="08000000">
      <w:pPr>
        <w:widowControl w:val="0"/>
        <w:ind/>
        <w:jc w:val="center"/>
        <w:rPr>
          <w:sz w:val="28"/>
        </w:rPr>
      </w:pPr>
      <w:r>
        <w:rPr>
          <w:sz w:val="28"/>
        </w:rPr>
        <w:t>ЧЕЛЯБИНСКОЙ ОБЛАСТИ</w:t>
      </w:r>
    </w:p>
    <w:p w14:paraId="09000000">
      <w:pPr>
        <w:widowControl w:val="0"/>
        <w:ind/>
        <w:jc w:val="center"/>
        <w:rPr>
          <w:sz w:val="28"/>
        </w:rPr>
      </w:pPr>
      <w:r>
        <w:rPr>
          <w:sz w:val="28"/>
        </w:rPr>
        <w:t>ПОСТАНОВЛЕНИЕ</w:t>
      </w:r>
    </w:p>
    <w:p w14:paraId="0A000000">
      <w:pPr>
        <w:rPr>
          <w:spacing w:val="-4"/>
          <w:sz w:val="28"/>
        </w:rPr>
      </w:pPr>
    </w:p>
    <w:p w14:paraId="0B000000">
      <w:pPr>
        <w:widowControl w:val="0"/>
        <w:ind/>
        <w:jc w:val="center"/>
        <w:rPr>
          <w:spacing w:val="-4"/>
          <w:sz w:val="28"/>
        </w:rPr>
      </w:pPr>
      <w:r>
        <w:rPr>
          <w:spacing w:val="-4"/>
          <w:sz w:val="28"/>
        </w:rPr>
        <w:t>14.</w:t>
      </w:r>
      <w:r>
        <w:rPr>
          <w:spacing w:val="-4"/>
          <w:sz w:val="28"/>
        </w:rPr>
        <w:t>08</w:t>
      </w:r>
      <w:r>
        <w:rPr>
          <w:spacing w:val="-4"/>
          <w:sz w:val="28"/>
        </w:rPr>
        <w:t>.20</w:t>
      </w:r>
      <w:r>
        <w:rPr>
          <w:spacing w:val="-4"/>
          <w:sz w:val="28"/>
        </w:rPr>
        <w:t>26</w:t>
      </w:r>
      <w:r>
        <w:rPr>
          <w:spacing w:val="-4"/>
          <w:sz w:val="28"/>
        </w:rPr>
        <w:t xml:space="preserve">                                        </w:t>
      </w:r>
      <w:r>
        <w:rPr>
          <w:spacing w:val="-4"/>
          <w:sz w:val="28"/>
        </w:rPr>
        <w:t xml:space="preserve">                             № 5910</w:t>
      </w:r>
      <w:r>
        <w:rPr>
          <w:spacing w:val="-4"/>
          <w:sz w:val="28"/>
        </w:rPr>
        <w:t>-П</w:t>
      </w:r>
    </w:p>
    <w:p w14:paraId="0C000000">
      <w:pPr>
        <w:pStyle w:val="Style_3"/>
        <w:widowControl w:val="0"/>
        <w:spacing w:after="0" w:before="0" w:line="240" w:lineRule="auto"/>
        <w:ind w:right="3685"/>
        <w:rPr>
          <w:rFonts w:ascii="Times New Roman" w:hAnsi="Times New Roman"/>
          <w:sz w:val="28"/>
        </w:rPr>
      </w:pPr>
      <w:r>
        <w:rPr>
          <w:rFonts w:ascii="Times New Roman" w:hAnsi="Times New Roman"/>
          <w:sz w:val="28"/>
        </w:rPr>
        <w:t xml:space="preserve">О внесении изменений в </w:t>
      </w:r>
      <w:r>
        <w:rPr>
          <w:rFonts w:ascii="Times New Roman" w:hAnsi="Times New Roman"/>
          <w:sz w:val="28"/>
        </w:rPr>
        <w:t>постановление</w:t>
      </w:r>
      <w:r>
        <w:br/>
      </w:r>
      <w:r>
        <w:rPr>
          <w:rFonts w:ascii="Times New Roman" w:hAnsi="Times New Roman"/>
          <w:sz w:val="28"/>
        </w:rPr>
        <w:t xml:space="preserve">администрации </w:t>
      </w:r>
      <w:r>
        <w:rPr>
          <w:rFonts w:ascii="Times New Roman" w:hAnsi="Times New Roman"/>
          <w:sz w:val="28"/>
        </w:rPr>
        <w:t>города Магнитогорска</w:t>
      </w:r>
      <w:r>
        <w:rPr>
          <w:rFonts w:ascii="Times New Roman" w:hAnsi="Times New Roman"/>
          <w:sz w:val="28"/>
        </w:rPr>
        <w:br/>
      </w:r>
      <w:r>
        <w:rPr>
          <w:rFonts w:ascii="Times New Roman" w:hAnsi="Times New Roman"/>
          <w:sz w:val="28"/>
        </w:rPr>
        <w:t>от 31.03.2020 № 3640-П</w:t>
      </w:r>
    </w:p>
    <w:p w14:paraId="0D000000">
      <w:pPr>
        <w:pStyle w:val="Style_3"/>
        <w:widowControl w:val="0"/>
        <w:spacing w:after="0" w:before="0" w:line="240" w:lineRule="auto"/>
        <w:ind w:firstLine="709" w:left="0"/>
        <w:jc w:val="both"/>
        <w:rPr>
          <w:rFonts w:ascii="Times New Roman" w:hAnsi="Times New Roman"/>
          <w:sz w:val="28"/>
        </w:rPr>
      </w:pPr>
    </w:p>
    <w:p w14:paraId="0E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174.3 Бюджетного кодекса Российской Федерации, постановлением Правительства Российской Федерации</w:t>
      </w:r>
      <w:r>
        <w:br/>
      </w:r>
      <w:r>
        <w:rPr>
          <w:rFonts w:ascii="Times New Roman" w:hAnsi="Times New Roman"/>
          <w:sz w:val="28"/>
        </w:rPr>
        <w:t>от 22.06.2019 №</w:t>
      </w:r>
      <w:r>
        <w:rPr>
          <w:rFonts w:ascii="XO Thames" w:hAnsi="XO Thames"/>
          <w:color w:val="000000"/>
          <w:spacing w:val="0"/>
          <w:sz w:val="28"/>
        </w:rPr>
        <w:t> </w:t>
      </w:r>
      <w:r>
        <w:rPr>
          <w:rFonts w:ascii="Times New Roman" w:hAnsi="Times New Roman"/>
          <w:sz w:val="28"/>
        </w:rPr>
        <w:t>796 «</w:t>
      </w:r>
      <w:r>
        <w:rPr>
          <w:rFonts w:ascii="Times New Roman" w:hAnsi="Times New Roman"/>
          <w:sz w:val="28"/>
          <w:highlight w:val="white"/>
        </w:rPr>
        <w:t>Об общих требованиях к оценке налоговых расходов субъектов Российской Федерации и муниципальных образований</w:t>
      </w:r>
      <w:r>
        <w:rPr>
          <w:rFonts w:ascii="Times New Roman" w:hAnsi="Times New Roman"/>
          <w:sz w:val="28"/>
        </w:rPr>
        <w:t xml:space="preserve">», руководствуясь Уставом города Магнитогорска, </w:t>
      </w:r>
    </w:p>
    <w:p w14:paraId="0F000000">
      <w:pPr>
        <w:pStyle w:val="Style_3"/>
        <w:widowControl w:val="0"/>
        <w:spacing w:after="0" w:before="0" w:line="240" w:lineRule="auto"/>
        <w:ind w:firstLine="709" w:left="0"/>
        <w:jc w:val="both"/>
        <w:rPr>
          <w:rFonts w:ascii="Times New Roman" w:hAnsi="Times New Roman"/>
          <w:sz w:val="28"/>
        </w:rPr>
      </w:pPr>
    </w:p>
    <w:p w14:paraId="10000000">
      <w:pPr>
        <w:pStyle w:val="Style_3"/>
        <w:widowControl w:val="0"/>
        <w:spacing w:after="0" w:before="0" w:line="240" w:lineRule="auto"/>
        <w:ind w:firstLine="0" w:left="0"/>
        <w:jc w:val="both"/>
        <w:rPr>
          <w:rFonts w:ascii="Times New Roman" w:hAnsi="Times New Roman"/>
          <w:sz w:val="28"/>
        </w:rPr>
      </w:pPr>
      <w:r>
        <w:rPr>
          <w:rFonts w:ascii="Times New Roman" w:hAnsi="Times New Roman"/>
          <w:sz w:val="28"/>
        </w:rPr>
        <w:t>ПОСТАНОВЛЯЮ:</w:t>
      </w:r>
    </w:p>
    <w:p w14:paraId="11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w:t>
      </w:r>
      <w:r>
        <w:rPr>
          <w:rFonts w:ascii="XO Thames" w:hAnsi="XO Thames"/>
          <w:color w:val="000000"/>
          <w:spacing w:val="0"/>
          <w:sz w:val="28"/>
        </w:rPr>
        <w:t>  </w:t>
      </w:r>
      <w:r>
        <w:rPr>
          <w:rFonts w:ascii="Times New Roman" w:hAnsi="Times New Roman"/>
          <w:sz w:val="28"/>
        </w:rPr>
        <w:t>Внести в постановление администрации города Магнитогорска</w:t>
      </w:r>
      <w:r>
        <w:rPr>
          <w:rFonts w:ascii="Times New Roman" w:hAnsi="Times New Roman"/>
          <w:sz w:val="28"/>
        </w:rPr>
        <w:br/>
      </w:r>
      <w:r>
        <w:rPr>
          <w:rFonts w:ascii="Times New Roman" w:hAnsi="Times New Roman"/>
          <w:sz w:val="28"/>
        </w:rPr>
        <w:t>от 31.03.2020 № 3640-П «</w:t>
      </w:r>
      <w:r>
        <w:rPr>
          <w:rFonts w:ascii="Times New Roman" w:hAnsi="Times New Roman"/>
          <w:sz w:val="28"/>
          <w:highlight w:val="white"/>
        </w:rPr>
        <w:t>О Порядке формирования перечня налоговых расходов и оценки налоговых расходов города Магнитогорска</w:t>
      </w:r>
      <w:r>
        <w:rPr>
          <w:rFonts w:ascii="Times New Roman" w:hAnsi="Times New Roman"/>
          <w:sz w:val="28"/>
        </w:rPr>
        <w:t>» (далее</w:t>
      </w:r>
      <w:r>
        <w:rPr>
          <w:rFonts w:ascii="XO Thames" w:hAnsi="XO Thames"/>
          <w:color w:val="000000"/>
          <w:spacing w:val="0"/>
          <w:sz w:val="28"/>
        </w:rPr>
        <w:t> </w:t>
      </w:r>
      <w:r>
        <w:rPr>
          <w:rFonts w:ascii="XO Thames" w:hAnsi="XO Thames"/>
          <w:color w:val="000000"/>
          <w:spacing w:val="0"/>
          <w:sz w:val="28"/>
        </w:rPr>
        <w:t>–</w:t>
      </w:r>
      <w:r>
        <w:rPr>
          <w:rFonts w:ascii="Times New Roman" w:hAnsi="Times New Roman"/>
          <w:sz w:val="28"/>
        </w:rPr>
        <w:t xml:space="preserve"> постановление) следующие изменения:</w:t>
      </w:r>
    </w:p>
    <w:p w14:paraId="12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w:t>
      </w:r>
      <w:r>
        <w:rPr>
          <w:rFonts w:ascii="XO Thames" w:hAnsi="XO Thames"/>
          <w:color w:val="000000"/>
          <w:spacing w:val="0"/>
          <w:sz w:val="28"/>
        </w:rPr>
        <w:t>  </w:t>
      </w:r>
      <w:r>
        <w:rPr>
          <w:rFonts w:ascii="Times New Roman" w:hAnsi="Times New Roman"/>
          <w:sz w:val="28"/>
        </w:rPr>
        <w:t>пункт 3 приложения к постановлению после слова «инвестиций» дополнить словами «администрации города Магнитогорска (далее</w:t>
      </w:r>
      <w:r>
        <w:rPr>
          <w:rFonts w:ascii="XO Thames" w:hAnsi="XO Thames"/>
          <w:color w:val="000000"/>
          <w:spacing w:val="0"/>
          <w:sz w:val="28"/>
        </w:rPr>
        <w:t> </w:t>
      </w:r>
      <w:r>
        <w:rPr>
          <w:rFonts w:ascii="Times New Roman" w:hAnsi="Times New Roman"/>
          <w:sz w:val="28"/>
        </w:rPr>
        <w:t>– управление экономики и инвестиций)»;</w:t>
      </w:r>
    </w:p>
    <w:p w14:paraId="13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w:t>
      </w:r>
      <w:r>
        <w:rPr>
          <w:rFonts w:ascii="XO Thames" w:hAnsi="XO Thames"/>
          <w:color w:val="000000"/>
          <w:spacing w:val="0"/>
          <w:sz w:val="28"/>
        </w:rPr>
        <w:t>  </w:t>
      </w:r>
      <w:r>
        <w:rPr>
          <w:rFonts w:ascii="Times New Roman" w:hAnsi="Times New Roman"/>
          <w:sz w:val="28"/>
        </w:rPr>
        <w:t>в пункте 3 приложения к постановлению слова «управление финансов» заменить словами «Управление финансов администрации города Магнитогорска (далее – управление финансов)»;</w:t>
      </w:r>
    </w:p>
    <w:p w14:paraId="14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3)</w:t>
      </w:r>
      <w:r>
        <w:rPr>
          <w:rFonts w:ascii="XO Thames" w:hAnsi="XO Thames"/>
          <w:color w:val="000000"/>
          <w:spacing w:val="0"/>
          <w:sz w:val="28"/>
        </w:rPr>
        <w:t>  </w:t>
      </w:r>
      <w:r>
        <w:rPr>
          <w:rFonts w:ascii="Times New Roman" w:hAnsi="Times New Roman"/>
          <w:sz w:val="28"/>
        </w:rPr>
        <w:t>в пункте 4 приложения к постановлению слова «структурные подразделения администрации города» заменить словами «соответствующие органы администрации города Магнитогорска (далее – органы администрации города)»;</w:t>
      </w:r>
    </w:p>
    <w:p w14:paraId="15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4)</w:t>
      </w:r>
      <w:r>
        <w:rPr>
          <w:rFonts w:ascii="XO Thames" w:hAnsi="XO Thames"/>
          <w:color w:val="000000"/>
          <w:spacing w:val="0"/>
          <w:sz w:val="28"/>
        </w:rPr>
        <w:t>  </w:t>
      </w:r>
      <w:r>
        <w:rPr>
          <w:rFonts w:ascii="Times New Roman" w:hAnsi="Times New Roman"/>
          <w:sz w:val="28"/>
        </w:rPr>
        <w:t>подпункт 2 пункта 5 приложения к постановлению дополнить словами «, а также с управлением экономики и инвестиций»;</w:t>
      </w:r>
    </w:p>
    <w:p w14:paraId="16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5)</w:t>
      </w:r>
      <w:r>
        <w:rPr>
          <w:rFonts w:ascii="XO Thames" w:hAnsi="XO Thames"/>
          <w:color w:val="000000"/>
          <w:spacing w:val="0"/>
          <w:sz w:val="28"/>
        </w:rPr>
        <w:t>  </w:t>
      </w:r>
      <w:r>
        <w:rPr>
          <w:rFonts w:ascii="Times New Roman" w:hAnsi="Times New Roman"/>
          <w:sz w:val="28"/>
        </w:rPr>
        <w:t>пункт 7 приложения к постановлению изложить в следующей редакции:</w:t>
      </w:r>
    </w:p>
    <w:p w14:paraId="17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«7.</w:t>
      </w:r>
      <w:r>
        <w:rPr>
          <w:rFonts w:ascii="XO Thames" w:hAnsi="XO Thames"/>
          <w:color w:val="000000"/>
          <w:spacing w:val="0"/>
          <w:sz w:val="28"/>
        </w:rPr>
        <w:t> </w:t>
      </w:r>
      <w:r>
        <w:rPr>
          <w:rFonts w:ascii="Times New Roman" w:hAnsi="Times New Roman"/>
          <w:sz w:val="28"/>
        </w:rPr>
        <w:t>В случае внесения изменений в перечень налоговых расходов</w:t>
      </w:r>
      <w:r>
        <w:br/>
      </w:r>
      <w:r>
        <w:rPr>
          <w:rFonts w:ascii="Times New Roman" w:hAnsi="Times New Roman"/>
          <w:sz w:val="28"/>
        </w:rPr>
        <w:t>в текущем финансовом году управление экономики и инвестиций формирует проект уточненного перечня налоговых расходов и направляет его</w:t>
      </w:r>
      <w:r>
        <w:br/>
      </w:r>
      <w:r>
        <w:rPr>
          <w:rFonts w:ascii="Times New Roman" w:hAnsi="Times New Roman"/>
          <w:sz w:val="28"/>
        </w:rPr>
        <w:t xml:space="preserve">в управление финансов. </w:t>
      </w:r>
    </w:p>
    <w:p w14:paraId="18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Управление финансов в течение 5 рабочих дней после поступления проекта уточненного перечня налоговых расходов, направляет его</w:t>
      </w:r>
      <w:r>
        <w:br/>
      </w:r>
      <w:r>
        <w:rPr>
          <w:rFonts w:ascii="Times New Roman" w:hAnsi="Times New Roman"/>
          <w:sz w:val="28"/>
        </w:rPr>
        <w:t>для согласования в органы администрации города, которые предлагается определить в качестве кураторов налоговых расходов.</w:t>
      </w:r>
    </w:p>
    <w:p w14:paraId="19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Кураторы налоговых расходов в течение 5 рабочих дней после поступления проекта уточненного перечня налоговых расходов рассматривают его и направляют предложения в соответствии с подпунктами 1 и 2 пункта 5 настоящего Порядка.</w:t>
      </w:r>
    </w:p>
    <w:p w14:paraId="1A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Если по истечении срока, указанного в абзаце третьем настоящего пункта, в управление финансов не поступили предложения, предусмотренные подпунктом 2 пункта 5 настоящего Порядка, уточненный перечень налоговых расходов считается согласованным и подлежит размещению на официальном сайте.»;</w:t>
      </w:r>
    </w:p>
    <w:p w14:paraId="1B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6)</w:t>
      </w:r>
      <w:r>
        <w:rPr>
          <w:rFonts w:ascii="XO Thames" w:hAnsi="XO Thames"/>
          <w:color w:val="000000"/>
          <w:spacing w:val="0"/>
          <w:sz w:val="28"/>
        </w:rPr>
        <w:t>  </w:t>
      </w:r>
      <w:r>
        <w:rPr>
          <w:rFonts w:ascii="Times New Roman" w:hAnsi="Times New Roman"/>
          <w:sz w:val="28"/>
        </w:rPr>
        <w:t>пункт 8 приложения к постановлению признать утратившим силу;</w:t>
      </w:r>
    </w:p>
    <w:p w14:paraId="1C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7)</w:t>
      </w:r>
      <w:r>
        <w:rPr>
          <w:rFonts w:ascii="XO Thames" w:hAnsi="XO Thames"/>
          <w:color w:val="000000"/>
          <w:spacing w:val="0"/>
          <w:sz w:val="28"/>
        </w:rPr>
        <w:t>  </w:t>
      </w:r>
      <w:r>
        <w:rPr>
          <w:rFonts w:ascii="Times New Roman" w:hAnsi="Times New Roman"/>
          <w:sz w:val="28"/>
        </w:rPr>
        <w:t>пункт 9 приложения к постановлению признать утратившим силу;</w:t>
      </w:r>
    </w:p>
    <w:p w14:paraId="1D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8)</w:t>
      </w:r>
      <w:r>
        <w:rPr>
          <w:rFonts w:ascii="XO Thames" w:hAnsi="XO Thames"/>
          <w:color w:val="000000"/>
          <w:spacing w:val="0"/>
          <w:sz w:val="28"/>
        </w:rPr>
        <w:t>  </w:t>
      </w:r>
      <w:r>
        <w:rPr>
          <w:rFonts w:ascii="Times New Roman" w:hAnsi="Times New Roman"/>
          <w:sz w:val="28"/>
        </w:rPr>
        <w:t>пункт 13 приложения к постановлению после слова «осуществляется» дополнить словом «ежегодно»;</w:t>
      </w:r>
    </w:p>
    <w:p w14:paraId="1E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9)</w:t>
      </w:r>
      <w:r>
        <w:rPr>
          <w:rFonts w:ascii="XO Thames" w:hAnsi="XO Thames"/>
          <w:color w:val="000000"/>
          <w:spacing w:val="0"/>
          <w:sz w:val="28"/>
        </w:rPr>
        <w:t>  </w:t>
      </w:r>
      <w:r>
        <w:rPr>
          <w:rFonts w:ascii="Times New Roman" w:hAnsi="Times New Roman"/>
          <w:sz w:val="28"/>
        </w:rPr>
        <w:t>приложение к постановлению дополнить пунктом 13-1 следующего содержания:</w:t>
      </w:r>
    </w:p>
    <w:p w14:paraId="1F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«13-1.</w:t>
      </w:r>
      <w:r>
        <w:rPr>
          <w:rFonts w:ascii="XO Thames" w:hAnsi="XO Thames"/>
          <w:color w:val="000000"/>
          <w:spacing w:val="0"/>
          <w:sz w:val="28"/>
        </w:rPr>
        <w:t> </w:t>
      </w:r>
      <w:r>
        <w:rPr>
          <w:rFonts w:ascii="Times New Roman" w:hAnsi="Times New Roman"/>
          <w:sz w:val="28"/>
        </w:rPr>
        <w:t>Для совместного участия в проведении оценки эффективности налоговых расходов кураторами налоговых расходов могут привлекаться соисполнители кураторов налоговых расходов. Соисполнители кураторов налоговых расходов представляют кураторам налоговых расходов по их запросам информацию для оценки налоговых расходов города Магнитогорска (данные статистической отчетности, иные сведения, необходимые для проведения оценки налоговых расходов).»;</w:t>
      </w:r>
    </w:p>
    <w:p w14:paraId="20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10)</w:t>
      </w:r>
      <w:r>
        <w:rPr>
          <w:rFonts w:ascii="XO Thames" w:hAnsi="XO Thames"/>
          <w:color w:val="000000"/>
          <w:spacing w:val="0"/>
          <w:sz w:val="28"/>
        </w:rPr>
        <w:t> </w:t>
      </w:r>
      <w:r>
        <w:rPr>
          <w:rFonts w:ascii="Times New Roman" w:hAnsi="Times New Roman"/>
          <w:sz w:val="28"/>
        </w:rPr>
        <w:t>в абзаце первом пункта 14 приложения к постановлению слово «эффективности» исключить;</w:t>
      </w:r>
    </w:p>
    <w:p w14:paraId="21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11)</w:t>
      </w:r>
      <w:r>
        <w:rPr>
          <w:rFonts w:ascii="XO Thames" w:hAnsi="XO Thames"/>
          <w:color w:val="000000"/>
          <w:spacing w:val="0"/>
          <w:sz w:val="28"/>
        </w:rPr>
        <w:t> </w:t>
      </w:r>
      <w:r>
        <w:rPr>
          <w:rFonts w:ascii="Times New Roman" w:hAnsi="Times New Roman"/>
          <w:sz w:val="28"/>
        </w:rPr>
        <w:t>в подпункте 1 пункта 14 приложения к постановлению слова «администрации города Магнитогорска (далее – управление финансов)» исключить;</w:t>
      </w:r>
    </w:p>
    <w:p w14:paraId="22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12)</w:t>
      </w:r>
      <w:r>
        <w:rPr>
          <w:rFonts w:ascii="XO Thames" w:hAnsi="XO Thames"/>
          <w:color w:val="000000"/>
          <w:spacing w:val="0"/>
          <w:sz w:val="28"/>
        </w:rPr>
        <w:t> </w:t>
      </w:r>
      <w:r>
        <w:rPr>
          <w:rFonts w:ascii="Times New Roman" w:hAnsi="Times New Roman"/>
          <w:sz w:val="28"/>
        </w:rPr>
        <w:t>в пункте 16 приложения к постановлению абзацы 5, 6, 7 признать утратившими силу;</w:t>
      </w:r>
    </w:p>
    <w:p w14:paraId="23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13)</w:t>
      </w:r>
      <w:r>
        <w:rPr>
          <w:rFonts w:ascii="XO Thames" w:hAnsi="XO Thames"/>
          <w:color w:val="000000"/>
          <w:spacing w:val="0"/>
          <w:sz w:val="28"/>
        </w:rPr>
        <w:t> </w:t>
      </w:r>
      <w:r>
        <w:rPr>
          <w:rFonts w:ascii="Times New Roman" w:hAnsi="Times New Roman"/>
          <w:sz w:val="28"/>
        </w:rPr>
        <w:t>пункт 17 приложения к постановлению изложить в следующей редакции:</w:t>
      </w:r>
    </w:p>
    <w:p w14:paraId="24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«17.</w:t>
      </w:r>
      <w:r>
        <w:rPr>
          <w:rFonts w:ascii="XO Thames" w:hAnsi="XO Thames"/>
          <w:color w:val="000000"/>
          <w:spacing w:val="0"/>
          <w:sz w:val="28"/>
        </w:rPr>
        <w:t> </w:t>
      </w:r>
      <w:r>
        <w:rPr>
          <w:rFonts w:ascii="Times New Roman" w:hAnsi="Times New Roman"/>
          <w:sz w:val="28"/>
        </w:rPr>
        <w:t>В случае несоответствия налоговых расходов города Магнитогорска хотя бы одному из критериев, указанных в пункте 16 настоящего Порядка, и (или) недостижения положительных значений оценки вклада предусмотренных для плательщиков льгот в изменение значения показателя (индикатора) достижения целей муниципальной программы города Магнитогорска и (или) целей социально – экономической политики города Магнитогорска, не относящихся к муниципальным программам города Магнитогорска, и (или) достижения более высоких показателей результативности применения альтернативных механизмов достижения целей муниципальной программы города Магнитогорска и (или) целей социально – экономической политики города Магнитогорска,</w:t>
      </w:r>
      <w:r>
        <w:br/>
      </w:r>
      <w:r>
        <w:rPr>
          <w:rFonts w:ascii="Times New Roman" w:hAnsi="Times New Roman"/>
          <w:sz w:val="28"/>
        </w:rPr>
        <w:t>не относящихся к муниципальным программам города Магнитогорска,</w:t>
      </w:r>
      <w:r>
        <w:br/>
      </w:r>
      <w:r>
        <w:rPr>
          <w:rFonts w:ascii="Times New Roman" w:hAnsi="Times New Roman"/>
          <w:sz w:val="28"/>
        </w:rPr>
        <w:t>по результатам оценки бюджетной эффективности налоговых расходов города Магнитогорска куратору налогового расхода города Магнитогорска надлежит представить в управление финансов предложения о сохранении (уточнении, отмене) льгот для плательщиков в аналитической записке, предусмотренной абзацем вторым подпункта 3 пункта 22 настоящего Порядка.»;</w:t>
      </w:r>
    </w:p>
    <w:p w14:paraId="25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14)</w:t>
      </w:r>
      <w:r>
        <w:rPr>
          <w:rFonts w:ascii="XO Thames" w:hAnsi="XO Thames"/>
          <w:color w:val="000000"/>
          <w:spacing w:val="0"/>
          <w:sz w:val="28"/>
        </w:rPr>
        <w:t> </w:t>
      </w:r>
      <w:r>
        <w:rPr>
          <w:rFonts w:ascii="Times New Roman" w:hAnsi="Times New Roman"/>
          <w:sz w:val="28"/>
        </w:rPr>
        <w:t>пункт 19 приложения к постановлению изложить в следующей редакции:</w:t>
      </w:r>
    </w:p>
    <w:p w14:paraId="26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«19.</w:t>
      </w:r>
      <w:r>
        <w:rPr>
          <w:rFonts w:ascii="XO Thames" w:hAnsi="XO Thames"/>
          <w:color w:val="000000"/>
          <w:spacing w:val="0"/>
          <w:sz w:val="28"/>
        </w:rPr>
        <w:t> </w:t>
      </w:r>
      <w:r>
        <w:rPr>
          <w:rFonts w:ascii="Times New Roman" w:hAnsi="Times New Roman"/>
          <w:sz w:val="28"/>
        </w:rPr>
        <w:t>Оценка результативности налоговых расходов города Магнитогорска включает оценку вклада предусмотренных для плательщиков льгот в изменение значения показателя (индикатора) достижения целей муниципальной программы города Магнитогорска и (или) целей социально-экономической политики города Магнитогорска, не относящихся</w:t>
      </w:r>
      <w:r>
        <w:br/>
      </w:r>
      <w:r>
        <w:rPr>
          <w:rFonts w:ascii="Times New Roman" w:hAnsi="Times New Roman"/>
          <w:sz w:val="28"/>
        </w:rPr>
        <w:t>к муниципальным программам города Магнитогорска, оценку бюджетной эффективности налоговых расходов города Магнитогорска.»;</w:t>
      </w:r>
    </w:p>
    <w:p w14:paraId="27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15)</w:t>
      </w:r>
      <w:r>
        <w:rPr>
          <w:rFonts w:ascii="XO Thames" w:hAnsi="XO Thames"/>
          <w:color w:val="000000"/>
          <w:spacing w:val="0"/>
          <w:sz w:val="28"/>
        </w:rPr>
        <w:t> </w:t>
      </w:r>
      <w:r>
        <w:rPr>
          <w:rFonts w:ascii="Times New Roman" w:hAnsi="Times New Roman"/>
          <w:sz w:val="28"/>
        </w:rPr>
        <w:t>в пункте 20-1 приложения к постановлению слова «бюджетной эффективности» заменить словом «результативности»;</w:t>
      </w:r>
    </w:p>
    <w:p w14:paraId="28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16)</w:t>
      </w:r>
      <w:r>
        <w:rPr>
          <w:rFonts w:ascii="XO Thames" w:hAnsi="XO Thames"/>
          <w:color w:val="000000"/>
          <w:spacing w:val="0"/>
          <w:sz w:val="28"/>
        </w:rPr>
        <w:t> </w:t>
      </w:r>
      <w:r>
        <w:rPr>
          <w:rFonts w:ascii="Times New Roman" w:hAnsi="Times New Roman"/>
          <w:sz w:val="28"/>
        </w:rPr>
        <w:t>в подпункте 3 пункта 21 приложения к постановлению слово «нормативного» заменить словом «правового»;</w:t>
      </w:r>
    </w:p>
    <w:p w14:paraId="29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17)</w:t>
      </w:r>
      <w:r>
        <w:rPr>
          <w:rFonts w:ascii="XO Thames" w:hAnsi="XO Thames"/>
          <w:color w:val="000000"/>
          <w:spacing w:val="0"/>
          <w:sz w:val="28"/>
        </w:rPr>
        <w:t> </w:t>
      </w:r>
      <w:r>
        <w:rPr>
          <w:rFonts w:ascii="Times New Roman" w:hAnsi="Times New Roman"/>
          <w:sz w:val="28"/>
        </w:rPr>
        <w:t>пункт 21-1 приложения к постановлению изложить в следующей редакции:</w:t>
      </w:r>
    </w:p>
    <w:p w14:paraId="2A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«21-1.</w:t>
      </w:r>
      <w:r>
        <w:rPr>
          <w:rFonts w:ascii="XO Thames" w:hAnsi="XO Thames"/>
          <w:color w:val="000000"/>
          <w:spacing w:val="0"/>
          <w:sz w:val="28"/>
        </w:rPr>
        <w:t> </w:t>
      </w:r>
      <w:r>
        <w:rPr>
          <w:rFonts w:ascii="Times New Roman" w:hAnsi="Times New Roman"/>
          <w:sz w:val="28"/>
        </w:rPr>
        <w:t xml:space="preserve">Оценку результативности налоговых расходов города Магнитогорска допускается не проводить в отношении: </w:t>
      </w:r>
    </w:p>
    <w:p w14:paraId="2B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w:t>
      </w:r>
      <w:r>
        <w:rPr>
          <w:rFonts w:ascii="XO Thames" w:hAnsi="XO Thames"/>
          <w:color w:val="000000"/>
          <w:spacing w:val="0"/>
          <w:sz w:val="28"/>
        </w:rPr>
        <w:t>  </w:t>
      </w:r>
      <w:r>
        <w:rPr>
          <w:rFonts w:ascii="Times New Roman" w:hAnsi="Times New Roman"/>
          <w:sz w:val="28"/>
        </w:rPr>
        <w:t xml:space="preserve">технических налоговых расходов города Магнитогорска; </w:t>
      </w:r>
    </w:p>
    <w:p w14:paraId="2C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w:t>
      </w:r>
      <w:r>
        <w:rPr>
          <w:rFonts w:ascii="XO Thames" w:hAnsi="XO Thames"/>
          <w:color w:val="000000"/>
          <w:spacing w:val="0"/>
          <w:sz w:val="28"/>
        </w:rPr>
        <w:t>  </w:t>
      </w:r>
      <w:r>
        <w:rPr>
          <w:rFonts w:ascii="Times New Roman" w:hAnsi="Times New Roman"/>
          <w:sz w:val="28"/>
        </w:rPr>
        <w:t xml:space="preserve">налоговых расходов города Магнитогорска, по которым на момент проведения оценки эффективности налоговых расходов города Магнитогорска отсутствуют фискальные характеристики; </w:t>
      </w:r>
    </w:p>
    <w:p w14:paraId="2D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3)</w:t>
      </w:r>
      <w:r>
        <w:rPr>
          <w:rFonts w:ascii="XO Thames" w:hAnsi="XO Thames"/>
          <w:color w:val="000000"/>
          <w:spacing w:val="0"/>
          <w:sz w:val="28"/>
        </w:rPr>
        <w:t>  </w:t>
      </w:r>
      <w:r>
        <w:rPr>
          <w:rFonts w:ascii="Times New Roman" w:hAnsi="Times New Roman"/>
          <w:sz w:val="28"/>
        </w:rPr>
        <w:t>налоговых расходов города Магнитогорска, обусловленных льготами, срок действия которых составляет менее одного года.»;</w:t>
      </w:r>
    </w:p>
    <w:p w14:paraId="2E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18)</w:t>
      </w:r>
      <w:r>
        <w:rPr>
          <w:rFonts w:ascii="XO Thames" w:hAnsi="XO Thames"/>
          <w:color w:val="000000"/>
          <w:spacing w:val="0"/>
          <w:sz w:val="28"/>
        </w:rPr>
        <w:t> </w:t>
      </w:r>
      <w:r>
        <w:rPr>
          <w:rFonts w:ascii="Times New Roman" w:hAnsi="Times New Roman"/>
          <w:sz w:val="28"/>
        </w:rPr>
        <w:t>приложение к постановлению дополнить пунктом 21-2 следующего содержания:</w:t>
      </w:r>
    </w:p>
    <w:p w14:paraId="2F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«21-2.</w:t>
      </w:r>
      <w:r>
        <w:rPr>
          <w:rFonts w:ascii="XO Thames" w:hAnsi="XO Thames"/>
          <w:color w:val="000000"/>
          <w:spacing w:val="0"/>
          <w:sz w:val="28"/>
        </w:rPr>
        <w:t> </w:t>
      </w:r>
      <w:r>
        <w:rPr>
          <w:rFonts w:ascii="Times New Roman" w:hAnsi="Times New Roman"/>
          <w:sz w:val="28"/>
        </w:rPr>
        <w:t>Оценку востребованности плательщиками предоставленных льгот допускается не проводить в отношении:</w:t>
      </w:r>
    </w:p>
    <w:p w14:paraId="30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w:t>
      </w:r>
      <w:r>
        <w:rPr>
          <w:rFonts w:ascii="XO Thames" w:hAnsi="XO Thames"/>
          <w:color w:val="000000"/>
          <w:spacing w:val="0"/>
          <w:sz w:val="28"/>
        </w:rPr>
        <w:t>  </w:t>
      </w:r>
      <w:r>
        <w:rPr>
          <w:rFonts w:ascii="Times New Roman" w:hAnsi="Times New Roman"/>
          <w:sz w:val="28"/>
        </w:rPr>
        <w:t>льгот, обусловливающих налоговые расходы города Магнитогорска, по которым на момент проведения оценки эффективности налоговых расходов города Магнитогорска отсутствуют фискальные характеристики;</w:t>
      </w:r>
    </w:p>
    <w:p w14:paraId="31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w:t>
      </w:r>
      <w:r>
        <w:rPr>
          <w:rFonts w:ascii="XO Thames" w:hAnsi="XO Thames"/>
          <w:color w:val="000000"/>
          <w:spacing w:val="0"/>
          <w:sz w:val="28"/>
        </w:rPr>
        <w:t>  </w:t>
      </w:r>
      <w:r>
        <w:rPr>
          <w:rFonts w:ascii="Times New Roman" w:hAnsi="Times New Roman"/>
          <w:sz w:val="28"/>
        </w:rPr>
        <w:t>налоговых расходов города Магнитогорска, обусловленных льготами, срок действия которых составляет менее одного года.»;</w:t>
      </w:r>
    </w:p>
    <w:p w14:paraId="32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19)</w:t>
      </w:r>
      <w:r>
        <w:rPr>
          <w:rFonts w:ascii="XO Thames" w:hAnsi="XO Thames"/>
          <w:color w:val="000000"/>
          <w:spacing w:val="0"/>
          <w:sz w:val="28"/>
        </w:rPr>
        <w:t> </w:t>
      </w:r>
      <w:r>
        <w:rPr>
          <w:rFonts w:ascii="Times New Roman" w:hAnsi="Times New Roman"/>
          <w:sz w:val="28"/>
        </w:rPr>
        <w:t>пункт 23 приложения к постановлению изложить в следующей редакции:</w:t>
      </w:r>
    </w:p>
    <w:p w14:paraId="33000000">
      <w:pPr>
        <w:pStyle w:val="Style_3"/>
        <w:widowControl w:val="0"/>
        <w:spacing w:after="0" w:before="0" w:line="240" w:lineRule="auto"/>
        <w:ind w:firstLine="709" w:left="0"/>
        <w:jc w:val="both"/>
        <w:rPr>
          <w:rFonts w:ascii="Times New Roman" w:hAnsi="Times New Roman"/>
          <w:color w:val="22272F"/>
          <w:sz w:val="28"/>
        </w:rPr>
      </w:pPr>
      <w:r>
        <w:rPr>
          <w:rFonts w:ascii="Times New Roman" w:hAnsi="Times New Roman"/>
          <w:sz w:val="28"/>
        </w:rPr>
        <w:t>«23.</w:t>
      </w:r>
      <w:r>
        <w:rPr>
          <w:rFonts w:ascii="XO Thames" w:hAnsi="XO Thames"/>
          <w:color w:val="22272F"/>
          <w:spacing w:val="0"/>
          <w:sz w:val="28"/>
        </w:rPr>
        <w:t> </w:t>
      </w:r>
      <w:bookmarkStart w:id="1" w:name="_GoBack"/>
      <w:bookmarkEnd w:id="1"/>
      <w:r>
        <w:rPr>
          <w:rFonts w:ascii="Times New Roman" w:hAnsi="Times New Roman"/>
          <w:color w:val="22272F"/>
          <w:sz w:val="28"/>
        </w:rPr>
        <w:t>Управление финансов осуществляет обобщение сведений аналитических записок кураторов налоговых расходов об оценке эффективности налоговых расходов города Магнитогорска, формирует сводную аналитическую записку, в том числе с учетом предложений</w:t>
      </w:r>
      <w:r>
        <w:br/>
      </w:r>
      <w:r>
        <w:rPr>
          <w:rFonts w:ascii="Times New Roman" w:hAnsi="Times New Roman"/>
          <w:color w:val="22272F"/>
          <w:sz w:val="28"/>
        </w:rPr>
        <w:t>о сохранении (уточнении, отмене) льгот для плательщиков, представленных кураторами налоговых расходов в соответствии с пунктом 17 настоящего документа и направляет ее в срок до 1 октября текущего года заместителю главы города Магнитогорска</w:t>
      </w:r>
      <w:r>
        <w:rPr>
          <w:rFonts w:ascii="Times New Roman" w:hAnsi="Times New Roman"/>
          <w:sz w:val="28"/>
        </w:rPr>
        <w:t>, курирующему сферу финансов и экономики</w:t>
      </w:r>
      <w:r>
        <w:rPr>
          <w:rFonts w:ascii="Times New Roman" w:hAnsi="Times New Roman"/>
          <w:color w:val="22272F"/>
          <w:sz w:val="28"/>
        </w:rPr>
        <w:t>,</w:t>
      </w:r>
      <w:r>
        <w:br/>
      </w:r>
      <w:r>
        <w:rPr>
          <w:rFonts w:ascii="Times New Roman" w:hAnsi="Times New Roman"/>
          <w:color w:val="22272F"/>
          <w:sz w:val="28"/>
        </w:rPr>
        <w:t>в Магнитогорское городское Собрание депутатов и в управление экономики</w:t>
      </w:r>
      <w:r>
        <w:br/>
      </w:r>
      <w:r>
        <w:rPr>
          <w:rFonts w:ascii="Times New Roman" w:hAnsi="Times New Roman"/>
          <w:color w:val="22272F"/>
          <w:sz w:val="28"/>
        </w:rPr>
        <w:t>и инвестиций.</w:t>
      </w:r>
    </w:p>
    <w:p w14:paraId="34000000">
      <w:pPr>
        <w:pStyle w:val="Style_3"/>
        <w:widowControl w:val="0"/>
        <w:spacing w:after="0" w:before="0" w:line="240" w:lineRule="auto"/>
        <w:ind w:firstLine="709" w:left="0"/>
        <w:jc w:val="both"/>
        <w:rPr>
          <w:rFonts w:ascii="Times New Roman" w:hAnsi="Times New Roman"/>
          <w:sz w:val="28"/>
        </w:rPr>
      </w:pPr>
      <w:r>
        <w:rPr>
          <w:rFonts w:ascii="Times New Roman" w:hAnsi="Times New Roman"/>
          <w:color w:val="22272F"/>
          <w:sz w:val="28"/>
        </w:rPr>
        <w:t>Результаты рассмотрения оценки налоговых расходов города Магнитогорска учитываются при формировании основных направлений бюджетной и налоговой политики города Магнитогорска, а также</w:t>
      </w:r>
      <w:r>
        <w:br/>
      </w:r>
      <w:r>
        <w:rPr>
          <w:rFonts w:ascii="Times New Roman" w:hAnsi="Times New Roman"/>
          <w:color w:val="22272F"/>
          <w:sz w:val="28"/>
        </w:rPr>
        <w:t>при проведении оценки эффективности реализации муниципальных программ города Магнитогорска.»</w:t>
      </w:r>
      <w:r>
        <w:rPr>
          <w:rFonts w:ascii="Times New Roman" w:hAnsi="Times New Roman"/>
          <w:sz w:val="28"/>
        </w:rPr>
        <w:t>;</w:t>
      </w:r>
    </w:p>
    <w:p w14:paraId="35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20)</w:t>
      </w:r>
      <w:r>
        <w:rPr>
          <w:rFonts w:ascii="XO Thames" w:hAnsi="XO Thames"/>
          <w:color w:val="000000"/>
          <w:spacing w:val="0"/>
          <w:sz w:val="28"/>
        </w:rPr>
        <w:t> </w:t>
      </w:r>
      <w:r>
        <w:rPr>
          <w:rFonts w:ascii="Times New Roman" w:hAnsi="Times New Roman"/>
          <w:sz w:val="28"/>
        </w:rPr>
        <w:t>в графах 6 и 7 таблицы приложения №</w:t>
      </w:r>
      <w:r>
        <w:rPr>
          <w:rFonts w:ascii="XO Thames" w:hAnsi="XO Thames"/>
          <w:color w:val="000000"/>
          <w:spacing w:val="0"/>
          <w:sz w:val="28"/>
        </w:rPr>
        <w:t> </w:t>
      </w:r>
      <w:r>
        <w:rPr>
          <w:rFonts w:ascii="Times New Roman" w:hAnsi="Times New Roman"/>
          <w:sz w:val="28"/>
        </w:rPr>
        <w:t xml:space="preserve">1 к Порядку формирования перечня налоговых </w:t>
      </w:r>
      <w:r>
        <w:rPr>
          <w:rFonts w:ascii="Times New Roman" w:hAnsi="Times New Roman"/>
          <w:color w:val="000000"/>
          <w:sz w:val="28"/>
        </w:rPr>
        <w:t>расходов и оценки налоговых расходов города Магнитогорска, утвержденному постановлением (далее –</w:t>
      </w:r>
      <w:r>
        <w:rPr>
          <w:rFonts w:ascii="Times New Roman" w:hAnsi="Times New Roman"/>
          <w:sz w:val="28"/>
        </w:rPr>
        <w:t xml:space="preserve"> Порядок), слова</w:t>
      </w:r>
      <w:r>
        <w:br/>
      </w:r>
      <w:r>
        <w:rPr>
          <w:rFonts w:ascii="Times New Roman" w:hAnsi="Times New Roman"/>
          <w:sz w:val="28"/>
        </w:rPr>
        <w:t>«в целях реализации которых установлены» заменить словами «которым</w:t>
      </w:r>
      <w:r>
        <w:br/>
      </w:r>
      <w:r>
        <w:rPr>
          <w:rFonts w:ascii="Times New Roman" w:hAnsi="Times New Roman"/>
          <w:sz w:val="28"/>
        </w:rPr>
        <w:t>соответствуют»;</w:t>
      </w:r>
    </w:p>
    <w:p w14:paraId="36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21)</w:t>
      </w:r>
      <w:r>
        <w:rPr>
          <w:rFonts w:ascii="XO Thames" w:hAnsi="XO Thames"/>
          <w:color w:val="000000"/>
          <w:spacing w:val="0"/>
          <w:sz w:val="28"/>
        </w:rPr>
        <w:t> </w:t>
      </w:r>
      <w:r>
        <w:rPr>
          <w:rFonts w:ascii="Times New Roman" w:hAnsi="Times New Roman"/>
          <w:sz w:val="28"/>
        </w:rPr>
        <w:t>в приложении № 2 к Порядку строки следующего содержания:</w:t>
      </w:r>
    </w:p>
    <w:p w14:paraId="37000000">
      <w:pPr>
        <w:pStyle w:val="Style_3"/>
        <w:widowControl w:val="0"/>
        <w:spacing w:after="0" w:before="0" w:line="240" w:lineRule="auto"/>
        <w:ind w:firstLine="709" w:left="0"/>
        <w:jc w:val="both"/>
        <w:rPr>
          <w:rFonts w:ascii="Times New Roman" w:hAnsi="Times New Roman"/>
          <w:sz w:val="16"/>
        </w:rPr>
      </w:pPr>
      <w:bookmarkStart w:id="2" w:name="ext-gen1362"/>
      <w:bookmarkEnd w:id="2"/>
    </w:p>
    <w:tbl>
      <w:tblPr>
        <w:tblW w:type="auto" w:w="0"/>
        <w:jc w:val="left"/>
        <w:tblInd w:type="dxa" w:w="28"/>
        <w:tblLayout w:type="fixed"/>
        <w:tblCellMar>
          <w:top w:type="dxa" w:w="28"/>
          <w:left w:type="dxa" w:w="28"/>
          <w:bottom w:type="dxa" w:w="28"/>
          <w:right w:type="dxa" w:w="28"/>
        </w:tblCellMar>
      </w:tblPr>
      <w:tblGrid>
        <w:gridCol w:w="7288"/>
        <w:gridCol w:w="2071"/>
      </w:tblGrid>
      <w:tr>
        <w:tc>
          <w:tcPr>
            <w:tcW w:type="dxa" w:w="7288"/>
            <w:tcBorders>
              <w:top w:color="000000" w:sz="6" w:val="single"/>
              <w:left w:color="000000" w:sz="6" w:val="single"/>
              <w:bottom w:color="000000" w:sz="6" w:val="single"/>
              <w:right w:color="000000" w:sz="6" w:val="single"/>
            </w:tcBorders>
            <w:tcMar>
              <w:top w:type="dxa" w:w="28"/>
              <w:left w:type="dxa" w:w="28"/>
              <w:bottom w:type="dxa" w:w="28"/>
              <w:right w:type="dxa" w:w="28"/>
            </w:tcMar>
          </w:tcPr>
          <w:p w14:paraId="38000000">
            <w:pPr>
              <w:pStyle w:val="Style_4"/>
              <w:widowControl w:val="1"/>
              <w:spacing w:after="0" w:before="0" w:line="240" w:lineRule="auto"/>
              <w:ind w:firstLine="0" w:left="57" w:right="57"/>
              <w:jc w:val="both"/>
              <w:rPr>
                <w:rFonts w:ascii="Times New Roman" w:hAnsi="Times New Roman"/>
                <w:sz w:val="24"/>
              </w:rPr>
            </w:pPr>
            <w:bookmarkStart w:id="3" w:name="p_115"/>
            <w:bookmarkEnd w:id="3"/>
            <w:r>
              <w:rPr>
                <w:rFonts w:ascii="Times New Roman" w:hAnsi="Times New Roman"/>
                <w:sz w:val="24"/>
              </w:rPr>
              <w:t>18. Базовый объем налогов, задекларированный для уплаты в местный бюджет города плательщиками налогов, имеющими право на налоговые льготы, освобождения и иные преференции, установленные Решениями МГСД (тыс. рублей)</w:t>
            </w:r>
          </w:p>
        </w:tc>
        <w:tc>
          <w:tcPr>
            <w:tcW w:type="dxa" w:w="2071"/>
            <w:tcBorders>
              <w:top w:color="000000" w:sz="6" w:val="single"/>
              <w:left w:color="000000" w:sz="6" w:val="single"/>
              <w:bottom w:color="000000" w:sz="6" w:val="single"/>
              <w:right w:color="000000" w:sz="6" w:val="single"/>
            </w:tcBorders>
            <w:tcMar>
              <w:top w:type="dxa" w:w="28"/>
              <w:left w:type="dxa" w:w="28"/>
              <w:bottom w:type="dxa" w:w="28"/>
              <w:right w:type="dxa" w:w="28"/>
            </w:tcMar>
            <w:vAlign w:val="center"/>
          </w:tcPr>
          <w:p w14:paraId="39000000">
            <w:pPr>
              <w:pStyle w:val="Style_4"/>
              <w:widowControl w:val="1"/>
              <w:spacing w:after="0" w:before="0" w:line="240" w:lineRule="auto"/>
              <w:ind w:firstLine="0" w:left="57" w:right="57"/>
              <w:jc w:val="center"/>
              <w:rPr>
                <w:rFonts w:ascii="Times New Roman" w:hAnsi="Times New Roman"/>
                <w:sz w:val="24"/>
              </w:rPr>
            </w:pPr>
            <w:bookmarkStart w:id="4" w:name="p_116"/>
            <w:bookmarkEnd w:id="4"/>
            <w:r>
              <w:rPr>
                <w:rFonts w:ascii="Times New Roman" w:hAnsi="Times New Roman"/>
                <w:sz w:val="24"/>
              </w:rPr>
              <w:t>МИФНС N 17</w:t>
            </w:r>
          </w:p>
        </w:tc>
      </w:tr>
      <w:tr>
        <w:tc>
          <w:tcPr>
            <w:tcW w:type="dxa" w:w="7288"/>
            <w:tcBorders>
              <w:top w:color="000000" w:sz="6" w:val="single"/>
              <w:left w:color="000000" w:sz="6" w:val="single"/>
              <w:bottom w:color="000000" w:sz="6" w:val="single"/>
              <w:right w:color="000000" w:sz="6" w:val="single"/>
            </w:tcBorders>
            <w:tcMar>
              <w:top w:type="dxa" w:w="28"/>
              <w:left w:type="dxa" w:w="28"/>
              <w:bottom w:type="dxa" w:w="28"/>
              <w:right w:type="dxa" w:w="28"/>
            </w:tcMar>
          </w:tcPr>
          <w:p w14:paraId="3A000000">
            <w:pPr>
              <w:pStyle w:val="Style_4"/>
              <w:widowControl w:val="1"/>
              <w:spacing w:after="0" w:before="0" w:line="240" w:lineRule="auto"/>
              <w:ind w:firstLine="0" w:left="57" w:right="57"/>
              <w:jc w:val="both"/>
              <w:rPr>
                <w:rFonts w:ascii="Times New Roman" w:hAnsi="Times New Roman"/>
                <w:sz w:val="24"/>
              </w:rPr>
            </w:pPr>
            <w:bookmarkStart w:id="5" w:name="p_117"/>
            <w:bookmarkEnd w:id="5"/>
            <w:r>
              <w:rPr>
                <w:rFonts w:ascii="Times New Roman" w:hAnsi="Times New Roman"/>
                <w:sz w:val="24"/>
              </w:rPr>
              <w:t>19. Объем налогов, задекларированный для уплаты в местный бюджет города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w:t>
            </w:r>
          </w:p>
        </w:tc>
        <w:tc>
          <w:tcPr>
            <w:tcW w:type="dxa" w:w="2071"/>
            <w:tcBorders>
              <w:top w:color="000000" w:sz="6" w:val="single"/>
              <w:left w:color="000000" w:sz="6" w:val="single"/>
              <w:bottom w:color="000000" w:sz="6" w:val="single"/>
              <w:right w:color="000000" w:sz="6" w:val="single"/>
            </w:tcBorders>
            <w:tcMar>
              <w:top w:type="dxa" w:w="28"/>
              <w:left w:type="dxa" w:w="28"/>
              <w:bottom w:type="dxa" w:w="28"/>
              <w:right w:type="dxa" w:w="28"/>
            </w:tcMar>
            <w:vAlign w:val="center"/>
          </w:tcPr>
          <w:p w14:paraId="3B000000">
            <w:pPr>
              <w:pStyle w:val="Style_4"/>
              <w:widowControl w:val="1"/>
              <w:spacing w:after="0" w:before="0" w:line="240" w:lineRule="auto"/>
              <w:ind w:firstLine="0" w:left="57" w:right="57"/>
              <w:jc w:val="center"/>
              <w:rPr>
                <w:rFonts w:ascii="Times New Roman" w:hAnsi="Times New Roman"/>
                <w:sz w:val="24"/>
              </w:rPr>
            </w:pPr>
            <w:bookmarkStart w:id="6" w:name="p_118"/>
            <w:bookmarkEnd w:id="6"/>
            <w:r>
              <w:rPr>
                <w:rFonts w:ascii="Times New Roman" w:hAnsi="Times New Roman"/>
                <w:sz w:val="24"/>
              </w:rPr>
              <w:t>МИФНС N 17</w:t>
            </w:r>
          </w:p>
        </w:tc>
      </w:tr>
    </w:tbl>
    <w:p w14:paraId="3C000000">
      <w:pPr>
        <w:pStyle w:val="Style_3"/>
        <w:widowControl w:val="0"/>
        <w:spacing w:after="0" w:before="0" w:line="240" w:lineRule="auto"/>
        <w:ind w:firstLine="0" w:left="0"/>
        <w:jc w:val="both"/>
        <w:rPr>
          <w:rFonts w:ascii="Times New Roman" w:hAnsi="Times New Roman"/>
          <w:sz w:val="16"/>
        </w:rPr>
      </w:pPr>
    </w:p>
    <w:p w14:paraId="3D000000">
      <w:pPr>
        <w:pStyle w:val="Style_3"/>
        <w:widowControl w:val="0"/>
        <w:spacing w:after="0" w:before="0" w:line="240" w:lineRule="auto"/>
        <w:ind w:firstLine="0" w:left="0"/>
        <w:jc w:val="both"/>
        <w:rPr>
          <w:rFonts w:ascii="Times New Roman" w:hAnsi="Times New Roman"/>
          <w:sz w:val="28"/>
        </w:rPr>
      </w:pPr>
      <w:r>
        <w:rPr>
          <w:rFonts w:ascii="Times New Roman" w:hAnsi="Times New Roman"/>
          <w:sz w:val="28"/>
        </w:rPr>
        <w:t>признать утратившими силу.</w:t>
      </w:r>
    </w:p>
    <w:p w14:paraId="3E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2.</w:t>
      </w:r>
      <w:r>
        <w:rPr>
          <w:rFonts w:ascii="XO Thames" w:hAnsi="XO Thames"/>
          <w:color w:val="000000"/>
          <w:spacing w:val="0"/>
          <w:sz w:val="28"/>
        </w:rPr>
        <w:t>  </w:t>
      </w:r>
      <w:r>
        <w:rPr>
          <w:rFonts w:ascii="Times New Roman" w:hAnsi="Times New Roman"/>
          <w:sz w:val="28"/>
        </w:rPr>
        <w:t>Настоящее постановление вступает в силу после официального опубликования.</w:t>
      </w:r>
    </w:p>
    <w:p w14:paraId="3F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3.</w:t>
      </w:r>
      <w:r>
        <w:rPr>
          <w:rFonts w:ascii="XO Thames" w:hAnsi="XO Thames"/>
          <w:color w:val="000000"/>
          <w:spacing w:val="0"/>
          <w:sz w:val="28"/>
        </w:rPr>
        <w:t>  </w:t>
      </w:r>
      <w:r>
        <w:rPr>
          <w:rFonts w:ascii="Times New Roman" w:hAnsi="Times New Roman"/>
          <w:sz w:val="28"/>
        </w:rPr>
        <w:t>Службе внешних связей и молодежной политики администрации</w:t>
      </w:r>
      <w:r>
        <w:br/>
      </w:r>
      <w:r>
        <w:rPr>
          <w:rFonts w:ascii="Times New Roman" w:hAnsi="Times New Roman"/>
          <w:sz w:val="28"/>
        </w:rPr>
        <w:t>города Магнитогорска (Числов</w:t>
      </w:r>
      <w:r>
        <w:rPr>
          <w:rFonts w:ascii="XO Thames" w:hAnsi="XO Thames"/>
          <w:color w:val="000000"/>
          <w:spacing w:val="0"/>
          <w:sz w:val="28"/>
        </w:rPr>
        <w:t>а </w:t>
      </w:r>
      <w:r>
        <w:rPr>
          <w:rFonts w:ascii="Times New Roman" w:hAnsi="Times New Roman"/>
          <w:sz w:val="28"/>
        </w:rPr>
        <w:t xml:space="preserve">Г.Д.) опубликовать </w:t>
      </w:r>
      <w:r>
        <w:rPr>
          <w:rFonts w:ascii="Times New Roman" w:hAnsi="Times New Roman"/>
          <w:sz w:val="28"/>
          <w:highlight w:val="white"/>
        </w:rPr>
        <w:t>настоящее</w:t>
      </w:r>
      <w:r>
        <w:br/>
      </w:r>
      <w:r>
        <w:rPr>
          <w:rFonts w:ascii="Times New Roman" w:hAnsi="Times New Roman"/>
          <w:sz w:val="28"/>
          <w:highlight w:val="white"/>
        </w:rPr>
        <w:t>постановление в средствах массовой информации и разместить</w:t>
      </w:r>
      <w:r>
        <w:br/>
      </w:r>
      <w:r>
        <w:rPr>
          <w:rFonts w:ascii="Times New Roman" w:hAnsi="Times New Roman"/>
          <w:sz w:val="28"/>
          <w:highlight w:val="white"/>
        </w:rPr>
        <w:t>на официальном сайте администрации города Магнитогорска.</w:t>
      </w:r>
    </w:p>
    <w:p w14:paraId="40000000">
      <w:pPr>
        <w:pStyle w:val="Style_3"/>
        <w:widowControl w:val="0"/>
        <w:spacing w:after="0" w:before="0" w:line="240" w:lineRule="auto"/>
        <w:ind w:firstLine="709" w:left="0"/>
        <w:jc w:val="both"/>
        <w:rPr>
          <w:rFonts w:ascii="Times New Roman" w:hAnsi="Times New Roman"/>
          <w:sz w:val="28"/>
        </w:rPr>
      </w:pPr>
      <w:r>
        <w:rPr>
          <w:rFonts w:ascii="Times New Roman" w:hAnsi="Times New Roman"/>
          <w:sz w:val="28"/>
        </w:rPr>
        <w:t>4.</w:t>
      </w:r>
      <w:r>
        <w:rPr>
          <w:rFonts w:ascii="XO Thames" w:hAnsi="XO Thames"/>
          <w:color w:val="000000"/>
          <w:spacing w:val="0"/>
          <w:sz w:val="28"/>
        </w:rPr>
        <w:t>  </w:t>
      </w:r>
      <w:r>
        <w:rPr>
          <w:rFonts w:ascii="Times New Roman" w:hAnsi="Times New Roman"/>
          <w:sz w:val="28"/>
        </w:rPr>
        <w:t>Контроль исполнения настоящего постановления возложить</w:t>
      </w:r>
      <w:r>
        <w:br/>
      </w:r>
      <w:r>
        <w:rPr>
          <w:rFonts w:ascii="Times New Roman" w:hAnsi="Times New Roman"/>
          <w:sz w:val="28"/>
        </w:rPr>
        <w:t>на заместителя Главы города Магнитогорска Макарову А.Н.</w:t>
      </w:r>
    </w:p>
    <w:p w14:paraId="41000000">
      <w:pPr>
        <w:pStyle w:val="Style_3"/>
        <w:widowControl w:val="0"/>
        <w:spacing w:after="0" w:before="0" w:line="240" w:lineRule="auto"/>
        <w:ind/>
        <w:jc w:val="both"/>
        <w:rPr>
          <w:rFonts w:ascii="Times New Roman" w:hAnsi="Times New Roman"/>
          <w:sz w:val="28"/>
        </w:rPr>
      </w:pPr>
    </w:p>
    <w:p w14:paraId="42000000">
      <w:pPr>
        <w:pStyle w:val="Style_3"/>
        <w:widowControl w:val="0"/>
        <w:spacing w:after="0" w:before="0" w:line="240" w:lineRule="auto"/>
        <w:ind/>
        <w:jc w:val="both"/>
        <w:rPr>
          <w:rFonts w:ascii="Times New Roman" w:hAnsi="Times New Roman"/>
          <w:sz w:val="28"/>
        </w:rPr>
      </w:pPr>
    </w:p>
    <w:p w14:paraId="43000000">
      <w:pPr>
        <w:pStyle w:val="Style_3"/>
        <w:widowControl w:val="0"/>
        <w:spacing w:after="0" w:before="0" w:line="240" w:lineRule="auto"/>
        <w:ind/>
        <w:jc w:val="both"/>
        <w:rPr>
          <w:rFonts w:ascii="Times New Roman" w:hAnsi="Times New Roman"/>
          <w:sz w:val="28"/>
        </w:rPr>
      </w:pPr>
    </w:p>
    <w:p w14:paraId="44000000">
      <w:pPr>
        <w:pStyle w:val="Style_3"/>
        <w:widowControl w:val="0"/>
        <w:spacing w:after="0" w:before="0" w:line="240" w:lineRule="auto"/>
        <w:ind/>
        <w:jc w:val="both"/>
        <w:rPr>
          <w:rFonts w:ascii="Times New Roman" w:hAnsi="Times New Roman"/>
          <w:sz w:val="28"/>
        </w:rPr>
      </w:pPr>
      <w:r>
        <w:rPr>
          <w:rFonts w:ascii="Times New Roman" w:hAnsi="Times New Roman"/>
          <w:sz w:val="28"/>
        </w:rPr>
        <w:t>Глава города Магнитогорска                                                         С.Н. Бердников</w:t>
      </w:r>
    </w:p>
    <w:p w14:paraId="45000000">
      <w:pPr>
        <w:pStyle w:val="Style_3"/>
        <w:widowControl w:val="0"/>
        <w:spacing w:after="0" w:line="240" w:lineRule="auto"/>
        <w:ind/>
        <w:jc w:val="both"/>
        <w:rPr>
          <w:rFonts w:ascii="Times New Roman" w:hAnsi="Times New Roman"/>
          <w:sz w:val="24"/>
        </w:rPr>
      </w:pPr>
    </w:p>
    <w:p w14:paraId="46000000">
      <w:pPr>
        <w:pStyle w:val="Style_3"/>
        <w:widowControl w:val="0"/>
        <w:spacing w:after="0" w:line="240" w:lineRule="auto"/>
        <w:ind/>
        <w:jc w:val="both"/>
        <w:rPr>
          <w:rFonts w:ascii="Times New Roman" w:hAnsi="Times New Roman"/>
          <w:sz w:val="24"/>
        </w:rPr>
      </w:pPr>
    </w:p>
    <w:p w14:paraId="47000000">
      <w:pPr>
        <w:pStyle w:val="Style_3"/>
        <w:widowControl w:val="0"/>
        <w:spacing w:after="0" w:before="0" w:line="240" w:lineRule="auto"/>
        <w:ind/>
        <w:jc w:val="both"/>
        <w:rPr>
          <w:rFonts w:ascii="Times New Roman" w:hAnsi="Times New Roman"/>
          <w:sz w:val="24"/>
        </w:rPr>
      </w:pPr>
    </w:p>
    <w:sectPr>
      <w:headerReference r:id="rId3" w:type="default"/>
      <w:headerReference r:id="rId5" w:type="first"/>
      <w:headerReference r:id="rId1" w:type="even"/>
      <w:footerReference r:id="rId4" w:type="default"/>
      <w:footerReference r:id="rId6" w:type="first"/>
      <w:footerReference r:id="rId2" w:type="even"/>
      <w:type w:val="nextPage"/>
      <w:pgSz w:h="16838" w:orient="portrait" w:w="11906"/>
      <w:pgMar w:bottom="1134" w:footer="709" w:gutter="0" w:header="709" w:left="1701" w:right="851"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widowControl w:val="0"/>
      <w:ind/>
      <w:jc w:val="right"/>
      <w:rPr>
        <w:rFonts w:ascii="Times New Roman" w:hAnsi="Times New Roman"/>
        <w:sz w:val="24"/>
      </w:rPr>
    </w:pPr>
    <w:r>
      <w:rPr>
        <w:rFonts w:ascii="Times New Roman" w:hAnsi="Times New Roman"/>
        <w:sz w:val="24"/>
      </w:rPr>
      <w:t>Вр-2404926</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200" w:before="0" w:line="276" w:lineRule="auto"/>
      <w:ind/>
      <w:jc w:val="left"/>
    </w:pPr>
    <w:rPr>
      <w:rFonts w:ascii="Calibri" w:hAnsi="Calibri"/>
      <w:color w:val="000000"/>
      <w:sz w:val="22"/>
    </w:rPr>
  </w:style>
  <w:style w:default="1" w:styleId="Style_3_ch" w:type="character">
    <w:name w:val="Normal"/>
    <w:link w:val="Style_3"/>
    <w:rPr>
      <w:rFonts w:ascii="Calibri" w:hAnsi="Calibri"/>
      <w:color w:val="000000"/>
      <w:sz w:val="22"/>
    </w:rPr>
  </w:style>
  <w:style w:styleId="Style_5" w:type="paragraph">
    <w:name w:val="toc 2"/>
    <w:next w:val="Style_3"/>
    <w:link w:val="Style_5_ch"/>
    <w:uiPriority w:val="39"/>
    <w:pPr>
      <w:widowControl w:val="0"/>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widowControl w:val="0"/>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Указатель (user)"/>
    <w:basedOn w:val="Style_3"/>
    <w:link w:val="Style_7_ch"/>
    <w:rPr>
      <w:rFonts w:ascii="PT Astra Serif" w:hAnsi="PT Astra Serif"/>
    </w:rPr>
  </w:style>
  <w:style w:styleId="Style_7_ch" w:type="character">
    <w:name w:val="Указатель (user)"/>
    <w:basedOn w:val="Style_3_ch"/>
    <w:link w:val="Style_7"/>
    <w:rPr>
      <w:rFonts w:ascii="PT Astra Serif" w:hAnsi="PT Astra Serif"/>
    </w:rPr>
  </w:style>
  <w:style w:styleId="Style_8" w:type="paragraph">
    <w:name w:val="toc 6"/>
    <w:next w:val="Style_3"/>
    <w:link w:val="Style_8_ch"/>
    <w:uiPriority w:val="39"/>
    <w:pPr>
      <w:widowControl w:val="0"/>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3"/>
    <w:link w:val="Style_9_ch"/>
    <w:uiPriority w:val="39"/>
    <w:pPr>
      <w:widowControl w:val="0"/>
      <w:ind w:firstLine="0" w:left="1200"/>
      <w:jc w:val="left"/>
    </w:pPr>
    <w:rPr>
      <w:rFonts w:ascii="XO Thames" w:hAnsi="XO Thames"/>
      <w:sz w:val="28"/>
    </w:rPr>
  </w:style>
  <w:style w:styleId="Style_9_ch" w:type="character">
    <w:name w:val="toc 7"/>
    <w:link w:val="Style_9"/>
    <w:rPr>
      <w:rFonts w:ascii="XO Thames" w:hAnsi="XO Thames"/>
      <w:sz w:val="28"/>
    </w:rPr>
  </w:style>
  <w:style w:styleId="Style_4" w:type="paragraph">
    <w:name w:val="Содержимое таблицы"/>
    <w:basedOn w:val="Style_3"/>
    <w:link w:val="Style_4_ch"/>
    <w:pPr>
      <w:widowControl w:val="0"/>
      <w:ind/>
    </w:pPr>
  </w:style>
  <w:style w:styleId="Style_4_ch" w:type="character">
    <w:name w:val="Содержимое таблицы"/>
    <w:basedOn w:val="Style_3_ch"/>
    <w:link w:val="Style_4"/>
  </w:style>
  <w:style w:styleId="Style_10" w:type="paragraph">
    <w:name w:val="Endnote"/>
    <w:link w:val="Style_10_ch"/>
    <w:pPr>
      <w:widowControl w:val="0"/>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widowControl w:val="0"/>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Default Paragraph Font"/>
    <w:link w:val="Style_12_ch"/>
  </w:style>
  <w:style w:styleId="Style_12_ch" w:type="character">
    <w:name w:val="Default Paragraph Font"/>
    <w:link w:val="Style_12"/>
  </w:style>
  <w:style w:styleId="Style_13" w:type="paragraph">
    <w:name w:val="Balloon Text"/>
    <w:basedOn w:val="Style_3"/>
    <w:link w:val="Style_13_ch"/>
    <w:pPr>
      <w:widowControl w:val="0"/>
      <w:spacing w:after="0" w:before="0" w:line="240" w:lineRule="auto"/>
      <w:ind/>
    </w:pPr>
    <w:rPr>
      <w:rFonts w:ascii="Tahoma" w:hAnsi="Tahoma"/>
      <w:sz w:val="16"/>
    </w:rPr>
  </w:style>
  <w:style w:styleId="Style_13_ch" w:type="character">
    <w:name w:val="Balloon Text"/>
    <w:basedOn w:val="Style_3_ch"/>
    <w:link w:val="Style_13"/>
    <w:rPr>
      <w:rFonts w:ascii="Tahoma" w:hAnsi="Tahoma"/>
      <w:sz w:val="16"/>
    </w:rPr>
  </w:style>
  <w:style w:styleId="Style_14" w:type="paragraph">
    <w:name w:val="Заголовок"/>
    <w:basedOn w:val="Style_3"/>
    <w:next w:val="Style_15"/>
    <w:link w:val="Style_14_ch"/>
    <w:pPr>
      <w:keepNext w:val="1"/>
      <w:widowControl w:val="0"/>
      <w:spacing w:after="120" w:before="240"/>
      <w:ind/>
    </w:pPr>
    <w:rPr>
      <w:rFonts w:ascii="PT Astra Serif" w:hAnsi="PT Astra Serif"/>
      <w:sz w:val="28"/>
    </w:rPr>
  </w:style>
  <w:style w:styleId="Style_14_ch" w:type="character">
    <w:name w:val="Заголовок"/>
    <w:basedOn w:val="Style_3_ch"/>
    <w:link w:val="Style_14"/>
    <w:rPr>
      <w:rFonts w:ascii="PT Astra Serif" w:hAnsi="PT Astra Serif"/>
      <w:sz w:val="28"/>
    </w:rPr>
  </w:style>
  <w:style w:styleId="Style_16" w:type="paragraph">
    <w:name w:val="Заголовок (user)"/>
    <w:basedOn w:val="Style_3"/>
    <w:next w:val="Style_15"/>
    <w:link w:val="Style_16_ch"/>
    <w:pPr>
      <w:keepNext w:val="1"/>
      <w:widowControl w:val="0"/>
      <w:spacing w:after="120" w:before="240"/>
      <w:ind/>
    </w:pPr>
    <w:rPr>
      <w:rFonts w:ascii="PT Astra Serif" w:hAnsi="PT Astra Serif"/>
      <w:sz w:val="28"/>
    </w:rPr>
  </w:style>
  <w:style w:styleId="Style_16_ch" w:type="character">
    <w:name w:val="Заголовок (user)"/>
    <w:basedOn w:val="Style_3_ch"/>
    <w:link w:val="Style_16"/>
    <w:rPr>
      <w:rFonts w:ascii="PT Astra Serif" w:hAnsi="PT Astra Serif"/>
      <w:sz w:val="28"/>
    </w:rPr>
  </w:style>
  <w:style w:styleId="Style_17" w:type="paragraph">
    <w:name w:val="toc 3"/>
    <w:next w:val="Style_3"/>
    <w:link w:val="Style_17_ch"/>
    <w:uiPriority w:val="39"/>
    <w:pPr>
      <w:widowControl w:val="0"/>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Верхний колонтитул Знак"/>
    <w:basedOn w:val="Style_12"/>
    <w:link w:val="Style_18_ch"/>
  </w:style>
  <w:style w:styleId="Style_18_ch" w:type="character">
    <w:name w:val="Верхний колонтитул Знак"/>
    <w:basedOn w:val="Style_12_ch"/>
    <w:link w:val="Style_18"/>
  </w:style>
  <w:style w:styleId="Style_19" w:type="paragraph">
    <w:name w:val="caption"/>
    <w:basedOn w:val="Style_3"/>
    <w:link w:val="Style_19_ch"/>
    <w:pPr>
      <w:widowControl w:val="0"/>
      <w:spacing w:after="120" w:before="120"/>
      <w:ind/>
    </w:pPr>
    <w:rPr>
      <w:rFonts w:ascii="PT Astra Serif" w:hAnsi="PT Astra Serif"/>
      <w:i w:val="1"/>
      <w:sz w:val="24"/>
    </w:rPr>
  </w:style>
  <w:style w:styleId="Style_19_ch" w:type="character">
    <w:name w:val="caption"/>
    <w:basedOn w:val="Style_3_ch"/>
    <w:link w:val="Style_19"/>
    <w:rPr>
      <w:rFonts w:ascii="PT Astra Serif" w:hAnsi="PT Astra Serif"/>
      <w:i w:val="1"/>
      <w:sz w:val="24"/>
    </w:rPr>
  </w:style>
  <w:style w:styleId="Style_20" w:type="paragraph">
    <w:name w:val="heading 5"/>
    <w:next w:val="Style_3"/>
    <w:link w:val="Style_20_ch"/>
    <w:uiPriority w:val="9"/>
    <w:qFormat/>
    <w:pPr>
      <w:widowControl w:val="0"/>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1" w:type="paragraph">
    <w:name w:val="header"/>
    <w:basedOn w:val="Style_3"/>
    <w:link w:val="Style_1_ch"/>
    <w:pPr>
      <w:widowControl w:val="0"/>
      <w:tabs>
        <w:tab w:leader="none" w:pos="708" w:val="clear"/>
        <w:tab w:leader="none" w:pos="4677" w:val="center"/>
        <w:tab w:leader="none" w:pos="9355" w:val="right"/>
      </w:tabs>
      <w:spacing w:after="0" w:before="0" w:line="240" w:lineRule="auto"/>
      <w:ind/>
    </w:pPr>
  </w:style>
  <w:style w:styleId="Style_1_ch" w:type="character">
    <w:name w:val="header"/>
    <w:basedOn w:val="Style_3_ch"/>
    <w:link w:val="Style_1"/>
  </w:style>
  <w:style w:styleId="Style_15" w:type="paragraph">
    <w:name w:val="Body Text"/>
    <w:basedOn w:val="Style_3"/>
    <w:link w:val="Style_15_ch"/>
    <w:pPr>
      <w:widowControl w:val="0"/>
      <w:spacing w:after="140" w:before="0" w:line="276" w:lineRule="auto"/>
      <w:ind/>
    </w:pPr>
  </w:style>
  <w:style w:styleId="Style_15_ch" w:type="character">
    <w:name w:val="Body Text"/>
    <w:basedOn w:val="Style_3_ch"/>
    <w:link w:val="Style_15"/>
  </w:style>
  <w:style w:styleId="Style_21" w:type="paragraph">
    <w:name w:val="heading 1"/>
    <w:next w:val="Style_3"/>
    <w:link w:val="Style_21_ch"/>
    <w:uiPriority w:val="9"/>
    <w:qFormat/>
    <w:pPr>
      <w:widowControl w:val="0"/>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widowControl w:val="0"/>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s_1"/>
    <w:basedOn w:val="Style_3"/>
    <w:link w:val="Style_24_ch"/>
    <w:pPr>
      <w:widowControl w:val="0"/>
      <w:spacing w:after="280" w:before="280" w:line="240" w:lineRule="auto"/>
      <w:ind/>
    </w:pPr>
    <w:rPr>
      <w:rFonts w:ascii="Times New Roman" w:hAnsi="Times New Roman"/>
      <w:sz w:val="24"/>
    </w:rPr>
  </w:style>
  <w:style w:styleId="Style_24_ch" w:type="character">
    <w:name w:val="s_1"/>
    <w:basedOn w:val="Style_3_ch"/>
    <w:link w:val="Style_24"/>
    <w:rPr>
      <w:rFonts w:ascii="Times New Roman" w:hAnsi="Times New Roman"/>
      <w:sz w:val="24"/>
    </w:rPr>
  </w:style>
  <w:style w:styleId="Style_25" w:type="paragraph">
    <w:name w:val="toc 1"/>
    <w:next w:val="Style_3"/>
    <w:link w:val="Style_25_ch"/>
    <w:uiPriority w:val="39"/>
    <w:pPr>
      <w:widowControl w:val="0"/>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Comment"/>
    <w:basedOn w:val="Style_3"/>
    <w:link w:val="Style_26_ch"/>
    <w:pPr>
      <w:widowControl w:val="0"/>
      <w:spacing w:after="0" w:before="56" w:line="240" w:lineRule="auto"/>
      <w:ind w:firstLine="0" w:left="57" w:right="57"/>
    </w:pPr>
    <w:rPr>
      <w:color w:val="000000"/>
      <w:sz w:val="20"/>
    </w:rPr>
  </w:style>
  <w:style w:styleId="Style_26_ch" w:type="character">
    <w:name w:val="Comment"/>
    <w:basedOn w:val="Style_3_ch"/>
    <w:link w:val="Style_26"/>
    <w:rPr>
      <w:color w:val="000000"/>
      <w:sz w:val="20"/>
    </w:rPr>
  </w:style>
  <w:style w:styleId="Style_27" w:type="paragraph">
    <w:name w:val="Header and Footer"/>
    <w:basedOn w:val="Style_3"/>
    <w:link w:val="Style_27_ch"/>
  </w:style>
  <w:style w:styleId="Style_27_ch" w:type="character">
    <w:name w:val="Header and Footer"/>
    <w:basedOn w:val="Style_3_ch"/>
    <w:link w:val="Style_27"/>
  </w:style>
  <w:style w:styleId="Style_28" w:type="paragraph">
    <w:name w:val="toc 9"/>
    <w:next w:val="Style_3"/>
    <w:link w:val="Style_28_ch"/>
    <w:uiPriority w:val="39"/>
    <w:pPr>
      <w:widowControl w:val="0"/>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toc 8"/>
    <w:next w:val="Style_3"/>
    <w:link w:val="Style_29_ch"/>
    <w:uiPriority w:val="39"/>
    <w:pPr>
      <w:widowControl w:val="0"/>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List"/>
    <w:basedOn w:val="Style_15"/>
    <w:link w:val="Style_30_ch"/>
    <w:rPr>
      <w:rFonts w:ascii="PT Astra Serif" w:hAnsi="PT Astra Serif"/>
    </w:rPr>
  </w:style>
  <w:style w:styleId="Style_30_ch" w:type="character">
    <w:name w:val="List"/>
    <w:basedOn w:val="Style_15_ch"/>
    <w:link w:val="Style_30"/>
    <w:rPr>
      <w:rFonts w:ascii="PT Astra Serif" w:hAnsi="PT Astra Serif"/>
    </w:rPr>
  </w:style>
  <w:style w:styleId="Style_31" w:type="paragraph">
    <w:name w:val="toc 5"/>
    <w:next w:val="Style_3"/>
    <w:link w:val="Style_31_ch"/>
    <w:uiPriority w:val="39"/>
    <w:pPr>
      <w:widowControl w:val="0"/>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Subtitle"/>
    <w:next w:val="Style_3"/>
    <w:link w:val="Style_32_ch"/>
    <w:uiPriority w:val="11"/>
    <w:qFormat/>
    <w:pPr>
      <w:widowControl w:val="0"/>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Нижний колонтитул Знак"/>
    <w:basedOn w:val="Style_12"/>
    <w:link w:val="Style_33_ch"/>
  </w:style>
  <w:style w:styleId="Style_33_ch" w:type="character">
    <w:name w:val="Нижний колонтитул Знак"/>
    <w:basedOn w:val="Style_12_ch"/>
    <w:link w:val="Style_33"/>
  </w:style>
  <w:style w:styleId="Style_34" w:type="paragraph">
    <w:name w:val="Title"/>
    <w:next w:val="Style_3"/>
    <w:link w:val="Style_34_ch"/>
    <w:uiPriority w:val="10"/>
    <w:qFormat/>
    <w:pPr>
      <w:widowControl w:val="0"/>
      <w:spacing w:after="567" w:before="567"/>
      <w:ind/>
      <w:jc w:val="center"/>
    </w:pPr>
    <w:rPr>
      <w:rFonts w:ascii="XO Thames" w:hAnsi="XO Thames"/>
      <w:b w:val="1"/>
      <w:caps w:val="1"/>
      <w:sz w:val="40"/>
    </w:rPr>
  </w:style>
  <w:style w:styleId="Style_34_ch" w:type="character">
    <w:name w:val="Title"/>
    <w:link w:val="Style_34"/>
    <w:rPr>
      <w:rFonts w:ascii="XO Thames" w:hAnsi="XO Thames"/>
      <w:b w:val="1"/>
      <w:caps w:val="1"/>
      <w:sz w:val="40"/>
    </w:rPr>
  </w:style>
  <w:style w:styleId="Style_35" w:type="paragraph">
    <w:name w:val="heading 4"/>
    <w:next w:val="Style_3"/>
    <w:link w:val="Style_35_ch"/>
    <w:uiPriority w:val="9"/>
    <w:qFormat/>
    <w:pPr>
      <w:widowControl w:val="0"/>
      <w:spacing w:after="120" w:before="120"/>
      <w:ind/>
      <w:jc w:val="both"/>
      <w:outlineLvl w:val="3"/>
    </w:pPr>
    <w:rPr>
      <w:rFonts w:ascii="XO Thames" w:hAnsi="XO Thames"/>
      <w:b w:val="1"/>
      <w:sz w:val="24"/>
    </w:rPr>
  </w:style>
  <w:style w:styleId="Style_35_ch" w:type="character">
    <w:name w:val="heading 4"/>
    <w:link w:val="Style_35"/>
    <w:rPr>
      <w:rFonts w:ascii="XO Thames" w:hAnsi="XO Thames"/>
      <w:b w:val="1"/>
      <w:sz w:val="24"/>
    </w:rPr>
  </w:style>
  <w:style w:styleId="Style_2" w:type="paragraph">
    <w:name w:val="footer"/>
    <w:basedOn w:val="Style_3"/>
    <w:link w:val="Style_2_ch"/>
    <w:pPr>
      <w:widowControl w:val="0"/>
      <w:tabs>
        <w:tab w:leader="none" w:pos="708" w:val="clear"/>
        <w:tab w:leader="none" w:pos="4677" w:val="center"/>
        <w:tab w:leader="none" w:pos="9355" w:val="right"/>
      </w:tabs>
      <w:spacing w:after="0" w:before="0" w:line="240" w:lineRule="auto"/>
      <w:ind/>
    </w:pPr>
  </w:style>
  <w:style w:styleId="Style_2_ch" w:type="character">
    <w:name w:val="footer"/>
    <w:basedOn w:val="Style_3_ch"/>
    <w:link w:val="Style_2"/>
  </w:style>
  <w:style w:styleId="Style_36" w:type="paragraph">
    <w:name w:val="heading 2"/>
    <w:next w:val="Style_3"/>
    <w:link w:val="Style_36_ch"/>
    <w:uiPriority w:val="9"/>
    <w:qFormat/>
    <w:pPr>
      <w:widowControl w:val="0"/>
      <w:spacing w:after="120" w:before="120"/>
      <w:ind/>
      <w:jc w:val="both"/>
      <w:outlineLvl w:val="1"/>
    </w:pPr>
    <w:rPr>
      <w:rFonts w:ascii="XO Thames" w:hAnsi="XO Thames"/>
      <w:b w:val="1"/>
      <w:sz w:val="28"/>
    </w:rPr>
  </w:style>
  <w:style w:styleId="Style_36_ch" w:type="character">
    <w:name w:val="heading 2"/>
    <w:link w:val="Style_36"/>
    <w:rPr>
      <w:rFonts w:ascii="XO Thames" w:hAnsi="XO Thames"/>
      <w:b w:val="1"/>
      <w:sz w:val="28"/>
    </w:rPr>
  </w:style>
  <w:style w:styleId="Style_37" w:type="paragraph">
    <w:name w:val="Указатель"/>
    <w:basedOn w:val="Style_3"/>
    <w:link w:val="Style_37_ch"/>
    <w:rPr>
      <w:rFonts w:ascii="PT Astra Serif" w:hAnsi="PT Astra Serif"/>
    </w:rPr>
  </w:style>
  <w:style w:styleId="Style_37_ch" w:type="character">
    <w:name w:val="Указатель"/>
    <w:basedOn w:val="Style_3_ch"/>
    <w:link w:val="Style_37"/>
    <w:rPr>
      <w:rFonts w:ascii="PT Astra Serif" w:hAnsi="PT Astra Serif"/>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header1.xml" Type="http://schemas.openxmlformats.org/officeDocument/2006/relationships/header"/>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header3.xml" Type="http://schemas.openxmlformats.org/officeDocument/2006/relationships/head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header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2026-08-13T08:32:16Z</dcterms:created>
  <dcterms:modified xsi:type="dcterms:W3CDTF">2026-08-14T09:02:29Z</dcterms:modified>
</cp:coreProperties>
</file>