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3.xml"/>
  <Override ContentType="application/vnd.openxmlformats-officedocument.wordprocessingml.header+xml" PartName="/word/header2.xml"/>
  <Override ContentType="application/vnd.openxmlformats-officedocument.wordprocessingml.header+xml" PartName="/word/header4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8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9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A000000">
      <w:pPr>
        <w:rPr>
          <w:spacing w:val="-4"/>
          <w:sz w:val="28"/>
        </w:rPr>
      </w:pPr>
    </w:p>
    <w:p w14:paraId="0B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14.</w:t>
      </w:r>
      <w:r>
        <w:rPr>
          <w:spacing w:val="-4"/>
          <w:sz w:val="28"/>
        </w:rPr>
        <w:t>08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594</w:t>
      </w:r>
      <w:r>
        <w:rPr>
          <w:spacing w:val="-4"/>
          <w:sz w:val="28"/>
        </w:rPr>
        <w:t>1</w:t>
      </w:r>
      <w:r>
        <w:rPr>
          <w:spacing w:val="-4"/>
          <w:sz w:val="28"/>
        </w:rPr>
        <w:t>-П</w:t>
      </w:r>
    </w:p>
    <w:p w14:paraId="0C000000">
      <w:pPr>
        <w:widowControl w:val="0"/>
        <w:spacing w:after="0" w:line="240" w:lineRule="auto"/>
        <w:ind w:right="5102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 завершении инициативных проек</w:t>
      </w:r>
      <w:r>
        <w:rPr>
          <w:rFonts w:ascii="Times New Roman" w:hAnsi="Times New Roman"/>
          <w:sz w:val="26"/>
        </w:rPr>
        <w:t>тов и уточнении их стоимости</w:t>
      </w:r>
    </w:p>
    <w:p w14:paraId="0D000000">
      <w:pPr>
        <w:widowControl w:val="0"/>
        <w:spacing w:after="0" w:line="240" w:lineRule="auto"/>
        <w:ind w:right="5102"/>
        <w:jc w:val="both"/>
        <w:rPr>
          <w:rFonts w:ascii="Times New Roman" w:hAnsi="Times New Roman"/>
          <w:sz w:val="26"/>
        </w:rPr>
      </w:pPr>
    </w:p>
    <w:p w14:paraId="0E000000">
      <w:pPr>
        <w:widowControl w:val="0"/>
        <w:spacing w:after="0" w:line="228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 соответствии с Федеральным законом от 20 марта 2025 года №33-ФЗ </w:t>
      </w:r>
      <w:r>
        <w:rPr>
          <w:rFonts w:ascii="Times New Roman" w:hAnsi="Times New Roman"/>
          <w:sz w:val="26"/>
        </w:rPr>
        <w:br/>
      </w:r>
      <w:r>
        <w:rPr>
          <w:rFonts w:ascii="Times New Roman" w:hAnsi="Times New Roman"/>
          <w:sz w:val="26"/>
        </w:rPr>
        <w:t xml:space="preserve">«Об общих принципах организации местного самоуправления в единой системе публичной власти», Законом Челябинской области от 22.12.2020 №288-ЗО </w:t>
      </w:r>
      <w:r>
        <w:rPr>
          <w:rFonts w:ascii="Times New Roman" w:hAnsi="Times New Roman"/>
          <w:sz w:val="26"/>
        </w:rPr>
        <w:br/>
      </w:r>
      <w:r>
        <w:rPr>
          <w:rFonts w:ascii="Times New Roman" w:hAnsi="Times New Roman"/>
          <w:sz w:val="26"/>
        </w:rPr>
        <w:t xml:space="preserve">«О некоторых вопросах правового регулирования отношений, связанных </w:t>
      </w:r>
      <w:r>
        <w:rPr>
          <w:rFonts w:ascii="Times New Roman" w:hAnsi="Times New Roman"/>
          <w:sz w:val="26"/>
        </w:rPr>
        <w:br/>
      </w:r>
      <w:r>
        <w:rPr>
          <w:rFonts w:ascii="Times New Roman" w:hAnsi="Times New Roman"/>
          <w:sz w:val="26"/>
        </w:rPr>
        <w:t xml:space="preserve">с инициативными проектами, выдвигаемыми для получения финансовой поддержки за счет межбюджетных трансфертов из областного бюджета», Решением Магнитогорского городского Собрания депутатов от 27 июня 2023 года № 105 </w:t>
      </w:r>
      <w:r>
        <w:rPr>
          <w:rFonts w:ascii="Times New Roman" w:hAnsi="Times New Roman"/>
          <w:sz w:val="26"/>
        </w:rPr>
        <w:t xml:space="preserve">«Об утверждении новой редакции Положения о реализации Закона Челябинской области «О некоторых вопросах правового регулирования отношений, связанных </w:t>
      </w:r>
      <w:r>
        <w:rPr>
          <w:rFonts w:ascii="Times New Roman" w:hAnsi="Times New Roman"/>
          <w:sz w:val="26"/>
        </w:rPr>
        <w:t>с инициативными проектами, выдвигаемыми для получения финансовой поддержки за счет межбюджетных трансфертов из областного бюджета на территории города Магнитогорска», письмом от 12.08.2026 № УТиКХ-03/1934, руководствуясь Уставом города Магнитогорска,</w:t>
      </w:r>
    </w:p>
    <w:p w14:paraId="0F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</w:p>
    <w:p w14:paraId="10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ПОСТАНОВЛЯЮ:</w:t>
      </w:r>
    </w:p>
    <w:p w14:paraId="11000000">
      <w:pPr>
        <w:widowControl w:val="0"/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</w:t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 xml:space="preserve">Считать завершенными инициативные проекты и уточнить их стоимость согласно </w:t>
      </w:r>
      <w:r>
        <w:rPr>
          <w:rFonts w:ascii="Times New Roman" w:hAnsi="Times New Roman"/>
          <w:sz w:val="26"/>
        </w:rPr>
        <w:t>приложению</w:t>
      </w:r>
      <w:r>
        <w:rPr>
          <w:rFonts w:ascii="Times New Roman" w:hAnsi="Times New Roman"/>
          <w:sz w:val="26"/>
        </w:rPr>
        <w:t xml:space="preserve"> к настоящему постановлению.</w:t>
      </w:r>
    </w:p>
    <w:p w14:paraId="12000000">
      <w:pPr>
        <w:widowControl w:val="0"/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</w:t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>Настоящее постановление вступает в силу со дня его подписания.</w:t>
      </w:r>
    </w:p>
    <w:p w14:paraId="13000000">
      <w:pPr>
        <w:widowControl w:val="0"/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</w:t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 xml:space="preserve">Службе внешних связей и молодежной политики администрации </w:t>
      </w:r>
      <w:r>
        <w:rPr>
          <w:rFonts w:ascii="Times New Roman" w:hAnsi="Times New Roman"/>
          <w:sz w:val="26"/>
        </w:rPr>
        <w:br/>
      </w:r>
      <w:r>
        <w:rPr>
          <w:rFonts w:ascii="Times New Roman" w:hAnsi="Times New Roman"/>
          <w:sz w:val="26"/>
        </w:rPr>
        <w:t>города Магнитогорска (</w:t>
      </w:r>
      <w:r>
        <w:rPr>
          <w:rFonts w:ascii="Times New Roman" w:hAnsi="Times New Roman"/>
          <w:sz w:val="26"/>
        </w:rPr>
        <w:t>Числов</w:t>
      </w:r>
      <w:r>
        <w:rPr>
          <w:rFonts w:ascii="Times New Roman" w:hAnsi="Times New Roman"/>
          <w:sz w:val="26"/>
        </w:rPr>
        <w:t>а</w:t>
      </w:r>
      <w:r>
        <w:rPr>
          <w:rFonts w:ascii="XO Thames" w:hAnsi="XO Thames"/>
          <w:color w:val="000000"/>
          <w:spacing w:val="0"/>
          <w:sz w:val="26"/>
        </w:rPr>
        <w:t> </w:t>
      </w:r>
      <w:r>
        <w:rPr>
          <w:rFonts w:ascii="Times New Roman" w:hAnsi="Times New Roman"/>
          <w:sz w:val="26"/>
        </w:rPr>
        <w:t xml:space="preserve">Г.Д.) разместить настоящее постановление </w:t>
      </w:r>
      <w:r>
        <w:rPr>
          <w:rFonts w:ascii="Times New Roman" w:hAnsi="Times New Roman"/>
          <w:sz w:val="26"/>
        </w:rPr>
        <w:br/>
      </w:r>
      <w:r>
        <w:rPr>
          <w:rFonts w:ascii="Times New Roman" w:hAnsi="Times New Roman"/>
          <w:sz w:val="26"/>
        </w:rPr>
        <w:t>на официальном сайте администрации города Магнитогорска.</w:t>
      </w:r>
    </w:p>
    <w:p w14:paraId="14000000">
      <w:pPr>
        <w:widowControl w:val="0"/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pacing w:val="-6"/>
          <w:sz w:val="26"/>
        </w:rPr>
        <w:t>4.</w:t>
      </w:r>
      <w:r>
        <w:rPr>
          <w:rFonts w:ascii="Times New Roman" w:hAnsi="Times New Roman"/>
          <w:spacing w:val="-6"/>
          <w:sz w:val="26"/>
        </w:rPr>
        <w:tab/>
      </w:r>
      <w:r>
        <w:rPr>
          <w:rFonts w:ascii="Times New Roman" w:hAnsi="Times New Roman"/>
          <w:spacing w:val="-6"/>
          <w:sz w:val="26"/>
        </w:rPr>
        <w:t>Контроль исполнения настоящего постановления возложить на</w:t>
      </w:r>
      <w:r>
        <w:rPr>
          <w:rFonts w:ascii="Times New Roman" w:hAnsi="Times New Roman"/>
          <w:sz w:val="26"/>
        </w:rPr>
        <w:t xml:space="preserve"> заместителя Главы города – руководителя аппарата администрации города Магнитогорска Кушко О.А.</w:t>
      </w:r>
    </w:p>
    <w:p w14:paraId="15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6"/>
        </w:rPr>
      </w:pPr>
    </w:p>
    <w:p w14:paraId="16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6"/>
        </w:rPr>
      </w:pPr>
    </w:p>
    <w:p w14:paraId="17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6"/>
        </w:rPr>
      </w:pPr>
    </w:p>
    <w:p w14:paraId="18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Глава города Магнитогорска                            </w:t>
      </w:r>
      <w:r>
        <w:rPr>
          <w:rFonts w:ascii="Times New Roman" w:hAnsi="Times New Roman"/>
          <w:sz w:val="26"/>
        </w:rPr>
        <w:t xml:space="preserve">  </w:t>
      </w:r>
      <w:r>
        <w:rPr>
          <w:rFonts w:ascii="Times New Roman" w:hAnsi="Times New Roman"/>
          <w:sz w:val="26"/>
        </w:rPr>
        <w:t xml:space="preserve">                                     С.Н. Бердников</w:t>
      </w:r>
    </w:p>
    <w:p w14:paraId="19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1A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1B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1C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1D000000">
      <w:pPr>
        <w:sectPr>
          <w:headerReference r:id="rId4" w:type="default"/>
          <w:footerReference r:id="rId3" w:type="first"/>
          <w:pgSz w:h="16838" w:orient="portrait" w:w="11906"/>
          <w:pgMar w:bottom="1134" w:footer="709" w:gutter="0" w:header="709" w:left="1701" w:right="851" w:top="1134"/>
          <w:titlePg/>
        </w:sectPr>
      </w:pPr>
    </w:p>
    <w:p w14:paraId="1E000000">
      <w:pPr>
        <w:widowControl w:val="0"/>
        <w:spacing w:after="0" w:line="240" w:lineRule="auto"/>
        <w:ind w:firstLine="0" w:left="566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</w:t>
      </w:r>
    </w:p>
    <w:p w14:paraId="1F000000">
      <w:pPr>
        <w:widowControl w:val="0"/>
        <w:spacing w:after="0" w:line="240" w:lineRule="auto"/>
        <w:ind w:firstLine="0" w:left="5669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постановлению администрации </w:t>
      </w:r>
    </w:p>
    <w:p w14:paraId="20000000">
      <w:pPr>
        <w:widowControl w:val="0"/>
        <w:spacing w:after="0" w:line="240" w:lineRule="auto"/>
        <w:ind w:firstLine="0" w:left="566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города Магнитогорска</w:t>
      </w:r>
    </w:p>
    <w:p w14:paraId="21000000">
      <w:pPr>
        <w:widowControl w:val="0"/>
        <w:spacing w:after="0" w:line="240" w:lineRule="auto"/>
        <w:ind w:firstLine="0" w:left="566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14.08.2026 № 5941-П</w:t>
      </w:r>
    </w:p>
    <w:p w14:paraId="22000000">
      <w:pPr>
        <w:widowControl w:val="0"/>
        <w:spacing w:after="0" w:line="240" w:lineRule="auto"/>
        <w:ind w:firstLine="0" w:left="5103"/>
        <w:jc w:val="both"/>
        <w:rPr>
          <w:rFonts w:ascii="Times New Roman" w:hAnsi="Times New Roman"/>
          <w:sz w:val="26"/>
        </w:rPr>
      </w:pPr>
    </w:p>
    <w:p w14:paraId="23000000">
      <w:pPr>
        <w:widowControl w:val="0"/>
        <w:spacing w:after="0" w:line="240" w:lineRule="auto"/>
        <w:ind w:firstLine="0" w:left="5103"/>
        <w:jc w:val="both"/>
        <w:rPr>
          <w:rFonts w:ascii="Times New Roman" w:hAnsi="Times New Roman"/>
          <w:sz w:val="26"/>
        </w:rPr>
      </w:pPr>
    </w:p>
    <w:p w14:paraId="24000000">
      <w:pPr>
        <w:widowControl w:val="0"/>
        <w:spacing w:after="0" w:line="240" w:lineRule="auto"/>
        <w:ind w:firstLine="0" w:left="5103"/>
        <w:jc w:val="both"/>
        <w:rPr>
          <w:rFonts w:ascii="Times New Roman" w:hAnsi="Times New Roman"/>
          <w:sz w:val="26"/>
        </w:rPr>
      </w:pPr>
    </w:p>
    <w:p w14:paraId="25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Перечень </w:t>
      </w:r>
    </w:p>
    <w:p w14:paraId="26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завершенных инициативных проектов с их уточненной стоимостью</w:t>
      </w:r>
    </w:p>
    <w:p w14:paraId="27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6"/>
        </w:rPr>
      </w:pPr>
    </w:p>
    <w:p w14:paraId="28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10"/>
        </w:rPr>
      </w:pPr>
    </w:p>
    <w:tbl>
      <w:tblPr>
        <w:tblStyle w:val="Style_3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48"/>
        <w:gridCol w:w="2619"/>
        <w:gridCol w:w="1514"/>
        <w:gridCol w:w="1481"/>
        <w:gridCol w:w="1688"/>
        <w:gridCol w:w="1489"/>
      </w:tblGrid>
      <w:tr>
        <w:trPr>
          <w:trHeight w:hRule="atLeast" w:val="20"/>
        </w:trPr>
        <w:tc>
          <w:tcPr>
            <w:tcW w:type="dxa" w:w="5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themeColor="dark1" w:val="000000"/>
              </w:rPr>
            </w:pPr>
            <w:r>
              <w:rPr>
                <w:rFonts w:ascii="Times New Roman" w:hAnsi="Times New Roman"/>
                <w:color w:themeColor="dark1" w:val="000000"/>
              </w:rPr>
              <w:t>№ п/п</w:t>
            </w:r>
          </w:p>
        </w:tc>
        <w:tc>
          <w:tcPr>
            <w:tcW w:type="dxa" w:w="26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themeColor="dark1" w:val="000000"/>
              </w:rPr>
            </w:pPr>
            <w:r>
              <w:rPr>
                <w:rFonts w:ascii="Times New Roman" w:hAnsi="Times New Roman"/>
                <w:color w:themeColor="dark1" w:val="000000"/>
              </w:rPr>
              <w:t>Наименование инициатив</w:t>
            </w:r>
            <w:r>
              <w:rPr>
                <w:rFonts w:ascii="Times New Roman" w:hAnsi="Times New Roman"/>
                <w:color w:themeColor="dark1" w:val="000000"/>
              </w:rPr>
              <w:t>н</w:t>
            </w:r>
            <w:r>
              <w:rPr>
                <w:rFonts w:ascii="Times New Roman" w:hAnsi="Times New Roman"/>
                <w:color w:themeColor="dark1" w:val="000000"/>
              </w:rPr>
              <w:t>ого проекта</w:t>
            </w:r>
          </w:p>
        </w:tc>
        <w:tc>
          <w:tcPr>
            <w:tcW w:type="dxa" w:w="15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themeColor="dark1" w:val="000000"/>
              </w:rPr>
            </w:pPr>
            <w:r>
              <w:rPr>
                <w:rFonts w:ascii="Times New Roman" w:hAnsi="Times New Roman"/>
                <w:color w:themeColor="dark1" w:val="000000"/>
              </w:rPr>
              <w:t>Объем выполненных работ, %</w:t>
            </w:r>
          </w:p>
        </w:tc>
        <w:tc>
          <w:tcPr>
            <w:tcW w:type="dxa" w:w="14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themeColor="dark1" w:val="000000"/>
              </w:rPr>
            </w:pPr>
            <w:r>
              <w:rPr>
                <w:rFonts w:ascii="Times New Roman" w:hAnsi="Times New Roman"/>
                <w:color w:themeColor="dark1" w:val="000000"/>
              </w:rPr>
              <w:t xml:space="preserve">Стоимость реализации проекта по ПАГ </w:t>
            </w:r>
            <w:r>
              <w:rPr>
                <w:rFonts w:ascii="Times New Roman" w:hAnsi="Times New Roman"/>
                <w:color w:themeColor="dark1" w:val="000000"/>
              </w:rPr>
              <w:br/>
            </w:r>
            <w:r>
              <w:rPr>
                <w:rFonts w:ascii="Times New Roman" w:hAnsi="Times New Roman"/>
                <w:color w:themeColor="dark1" w:val="000000"/>
              </w:rPr>
              <w:t>№ 10548-П от 10.12.2025</w:t>
            </w:r>
          </w:p>
        </w:tc>
        <w:tc>
          <w:tcPr>
            <w:tcW w:type="dxa" w:w="16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themeColor="dark1" w:val="000000"/>
              </w:rPr>
            </w:pPr>
            <w:r>
              <w:rPr>
                <w:rFonts w:ascii="Times New Roman" w:hAnsi="Times New Roman"/>
                <w:color w:themeColor="dark1" w:val="000000"/>
              </w:rPr>
              <w:t>Стоимость завершенного инициативного проекта, руб.</w:t>
            </w:r>
          </w:p>
        </w:tc>
        <w:tc>
          <w:tcPr>
            <w:tcW w:type="dxa" w:w="14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themeColor="dark1" w:val="000000"/>
              </w:rPr>
            </w:pPr>
            <w:r>
              <w:rPr>
                <w:rFonts w:ascii="Times New Roman" w:hAnsi="Times New Roman"/>
                <w:color w:themeColor="dark1" w:val="000000"/>
              </w:rPr>
              <w:t>Экономия, руб., в том числе средства инициаторов</w:t>
            </w:r>
          </w:p>
        </w:tc>
      </w:tr>
      <w:tr>
        <w:trPr>
          <w:trHeight w:hRule="atLeast" w:val="20"/>
        </w:trPr>
        <w:tc>
          <w:tcPr>
            <w:tcW w:type="dxa" w:w="5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themeColor="dark1" w:val="000000"/>
              </w:rPr>
            </w:pPr>
            <w:r>
              <w:rPr>
                <w:rFonts w:ascii="Times New Roman" w:hAnsi="Times New Roman"/>
                <w:color w:themeColor="dark1" w:val="000000"/>
              </w:rPr>
              <w:t>1</w:t>
            </w:r>
          </w:p>
        </w:tc>
        <w:tc>
          <w:tcPr>
            <w:tcW w:type="dxa" w:w="26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themeColor="dark1" w:val="000000"/>
              </w:rPr>
            </w:pPr>
            <w:r>
              <w:rPr>
                <w:rFonts w:ascii="Times New Roman" w:hAnsi="Times New Roman"/>
                <w:color w:themeColor="dark1" w:val="000000"/>
              </w:rPr>
              <w:t xml:space="preserve">Реализация инициативного проекта </w:t>
            </w:r>
            <w:r>
              <w:rPr>
                <w:rFonts w:ascii="Times New Roman" w:hAnsi="Times New Roman"/>
                <w:color w:themeColor="dark1" w:val="000000"/>
              </w:rPr>
              <w:t>«Комплексное благоустройство территории по адресу: г.Магнитогорск, пр.Карла Маркса, 115»</w:t>
            </w:r>
          </w:p>
        </w:tc>
        <w:tc>
          <w:tcPr>
            <w:tcW w:type="dxa" w:w="15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themeColor="dark1" w:val="000000"/>
              </w:rPr>
            </w:pPr>
            <w:r>
              <w:rPr>
                <w:rFonts w:ascii="Times New Roman" w:hAnsi="Times New Roman"/>
                <w:color w:themeColor="dark1" w:val="000000"/>
              </w:rPr>
              <w:t>100</w:t>
            </w:r>
          </w:p>
        </w:tc>
        <w:tc>
          <w:tcPr>
            <w:tcW w:type="dxa" w:w="14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themeColor="dark1" w:val="000000"/>
              </w:rPr>
            </w:pPr>
            <w:r>
              <w:rPr>
                <w:rFonts w:ascii="Times New Roman" w:hAnsi="Times New Roman"/>
                <w:color w:themeColor="dark1" w:val="000000"/>
              </w:rPr>
              <w:t>1 560 531,79</w:t>
            </w:r>
          </w:p>
        </w:tc>
        <w:tc>
          <w:tcPr>
            <w:tcW w:type="dxa" w:w="16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themeColor="dark1" w:val="000000"/>
              </w:rPr>
            </w:pPr>
            <w:r>
              <w:rPr>
                <w:rFonts w:ascii="Times New Roman" w:hAnsi="Times New Roman"/>
                <w:color w:themeColor="dark1" w:val="000000"/>
              </w:rPr>
              <w:t>1 059 199,50</w:t>
            </w:r>
          </w:p>
        </w:tc>
        <w:tc>
          <w:tcPr>
            <w:tcW w:type="dxa" w:w="14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themeColor="dark1" w:val="000000"/>
              </w:rPr>
            </w:pPr>
            <w:r>
              <w:rPr>
                <w:rFonts w:ascii="Times New Roman" w:hAnsi="Times New Roman"/>
                <w:color w:themeColor="dark1" w:val="000000"/>
              </w:rPr>
              <w:t>501 332,29</w:t>
            </w:r>
          </w:p>
        </w:tc>
      </w:tr>
      <w:tr>
        <w:trPr>
          <w:trHeight w:hRule="atLeast" w:val="20"/>
        </w:trPr>
        <w:tc>
          <w:tcPr>
            <w:tcW w:type="dxa" w:w="5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themeColor="dark1" w:val="000000"/>
              </w:rPr>
            </w:pPr>
            <w:r>
              <w:rPr>
                <w:rFonts w:ascii="Times New Roman" w:hAnsi="Times New Roman"/>
                <w:color w:themeColor="dark1" w:val="000000"/>
              </w:rPr>
              <w:t>2</w:t>
            </w:r>
          </w:p>
        </w:tc>
        <w:tc>
          <w:tcPr>
            <w:tcW w:type="dxa" w:w="26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themeColor="dark1" w:val="000000"/>
              </w:rPr>
            </w:pPr>
            <w:r>
              <w:rPr>
                <w:rFonts w:ascii="Times New Roman" w:hAnsi="Times New Roman"/>
                <w:color w:themeColor="dark1" w:val="000000"/>
              </w:rPr>
              <w:t xml:space="preserve">Реализация инициативного проекта </w:t>
            </w:r>
            <w:r>
              <w:rPr>
                <w:rFonts w:ascii="Times New Roman" w:hAnsi="Times New Roman"/>
                <w:color w:themeColor="dark1" w:val="000000"/>
              </w:rPr>
              <w:t>«Комплексное благоустройство территории по адресу: г.Магнитогорск, ул.Суворова, 134А»</w:t>
            </w:r>
          </w:p>
        </w:tc>
        <w:tc>
          <w:tcPr>
            <w:tcW w:type="dxa" w:w="15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themeColor="dark1" w:val="000000"/>
              </w:rPr>
            </w:pPr>
            <w:r>
              <w:rPr>
                <w:rFonts w:ascii="Times New Roman" w:hAnsi="Times New Roman"/>
                <w:color w:themeColor="dark1" w:val="000000"/>
              </w:rPr>
              <w:t>100</w:t>
            </w:r>
          </w:p>
        </w:tc>
        <w:tc>
          <w:tcPr>
            <w:tcW w:type="dxa" w:w="14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themeColor="dark1" w:val="000000"/>
              </w:rPr>
            </w:pPr>
            <w:r>
              <w:rPr>
                <w:rFonts w:ascii="Times New Roman" w:hAnsi="Times New Roman"/>
                <w:color w:themeColor="dark1" w:val="000000"/>
              </w:rPr>
              <w:t>2 248 418,82</w:t>
            </w:r>
          </w:p>
        </w:tc>
        <w:tc>
          <w:tcPr>
            <w:tcW w:type="dxa" w:w="16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themeColor="dark1" w:val="000000"/>
              </w:rPr>
            </w:pPr>
            <w:r>
              <w:rPr>
                <w:rFonts w:ascii="Times New Roman" w:hAnsi="Times New Roman"/>
                <w:color w:themeColor="dark1" w:val="000000"/>
              </w:rPr>
              <w:t>1 228 524,04</w:t>
            </w:r>
          </w:p>
        </w:tc>
        <w:tc>
          <w:tcPr>
            <w:tcW w:type="dxa" w:w="14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themeColor="dark1" w:val="000000"/>
              </w:rPr>
            </w:pPr>
            <w:r>
              <w:rPr>
                <w:rFonts w:ascii="Times New Roman" w:hAnsi="Times New Roman"/>
                <w:color w:themeColor="dark1" w:val="000000"/>
              </w:rPr>
              <w:t xml:space="preserve"> 1 019 894,78</w:t>
            </w:r>
          </w:p>
        </w:tc>
      </w:tr>
      <w:tr>
        <w:trPr>
          <w:trHeight w:hRule="atLeast" w:val="448"/>
        </w:trPr>
        <w:tc>
          <w:tcPr>
            <w:tcW w:type="dxa" w:w="3167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themeColor="dark1" w:val="000000"/>
              </w:rPr>
            </w:pPr>
            <w:r>
              <w:rPr>
                <w:rFonts w:ascii="Times New Roman" w:hAnsi="Times New Roman"/>
                <w:color w:themeColor="dark1" w:val="000000"/>
              </w:rPr>
              <w:t>ИТОГО:</w:t>
            </w:r>
          </w:p>
        </w:tc>
        <w:tc>
          <w:tcPr>
            <w:tcW w:type="dxa" w:w="15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themeColor="dark1" w:val="000000"/>
              </w:rPr>
            </w:pPr>
          </w:p>
        </w:tc>
        <w:tc>
          <w:tcPr>
            <w:tcW w:type="dxa" w:w="14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themeColor="dark1" w:val="000000"/>
              </w:rPr>
            </w:pPr>
            <w:r>
              <w:rPr>
                <w:rFonts w:ascii="Times New Roman" w:hAnsi="Times New Roman"/>
                <w:color w:themeColor="dark1" w:val="000000"/>
              </w:rPr>
              <w:t>3 808 950,61</w:t>
            </w:r>
          </w:p>
        </w:tc>
        <w:tc>
          <w:tcPr>
            <w:tcW w:type="dxa" w:w="16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themeColor="dark1" w:val="000000"/>
              </w:rPr>
            </w:pPr>
            <w:r>
              <w:rPr>
                <w:rFonts w:ascii="Times New Roman" w:hAnsi="Times New Roman"/>
                <w:color w:themeColor="dark1" w:val="000000"/>
              </w:rPr>
              <w:t xml:space="preserve">2 287 723,54 </w:t>
            </w:r>
          </w:p>
        </w:tc>
        <w:tc>
          <w:tcPr>
            <w:tcW w:type="dxa" w:w="148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themeColor="dark1" w:val="000000"/>
              </w:rPr>
            </w:pPr>
            <w:r>
              <w:rPr>
                <w:rFonts w:ascii="Times New Roman" w:hAnsi="Times New Roman"/>
                <w:color w:themeColor="dark1" w:val="000000"/>
              </w:rPr>
              <w:t>1 521 227,07</w:t>
            </w:r>
          </w:p>
        </w:tc>
      </w:tr>
    </w:tbl>
    <w:p w14:paraId="40000000">
      <w:pPr>
        <w:widowControl w:val="0"/>
        <w:spacing w:after="0" w:line="240" w:lineRule="auto"/>
        <w:ind/>
        <w:rPr>
          <w:rFonts w:ascii="Times New Roman" w:hAnsi="Times New Roman"/>
        </w:rPr>
      </w:pPr>
    </w:p>
    <w:p w14:paraId="4100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42000000">
      <w:pPr>
        <w:rPr>
          <w:rFonts w:ascii="Times New Roman" w:hAnsi="Times New Roman"/>
          <w:sz w:val="28"/>
        </w:rPr>
      </w:pPr>
    </w:p>
    <w:p w14:paraId="43000000">
      <w:pPr>
        <w:rPr>
          <w:rFonts w:ascii="PT Astra Serif" w:hAnsi="PT Astra Serif"/>
          <w:sz w:val="28"/>
        </w:rPr>
      </w:pPr>
    </w:p>
    <w:sectPr>
      <w:headerReference r:id="rId2" w:type="default"/>
      <w:footerReference r:id="rId1" w:type="first"/>
      <w:type w:val="nextPage"/>
      <w:pgSz w:h="16838" w:orient="portrait" w:w="11906"/>
      <w:pgMar w:bottom="1134" w:footer="709" w:gutter="0" w:header="709" w:left="1701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Вр-2457002</w:t>
    </w: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Вр-2457002</w:t>
    </w: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3000000">
    <w:pPr>
      <w:pStyle w:val="Style_2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6000000">
    <w:pPr>
      <w:pStyle w:val="Style_2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1" w:type="paragraph">
    <w:name w:val="footer"/>
    <w:basedOn w:val="Style_4"/>
    <w:link w:val="Style_1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footer"/>
    <w:basedOn w:val="Style_4_ch"/>
    <w:link w:val="Style_1"/>
  </w:style>
  <w:style w:styleId="Style_9" w:type="paragraph">
    <w:name w:val="Endnote"/>
    <w:link w:val="Style_9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4"/>
    <w:link w:val="Style_11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2" w:type="paragraph">
    <w:name w:val="header"/>
    <w:basedOn w:val="Style_4"/>
    <w:link w:val="Style_2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header"/>
    <w:basedOn w:val="Style_4_ch"/>
    <w:link w:val="Style_2"/>
  </w:style>
  <w:style w:styleId="Style_12" w:type="paragraph">
    <w:name w:val="heading 5"/>
    <w:next w:val="Style_4"/>
    <w:link w:val="Style_1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4"/>
    <w:link w:val="Style_13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4"/>
    <w:link w:val="Style_16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4"/>
    <w:link w:val="Style_1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4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Balloon Text"/>
    <w:basedOn w:val="Style_4"/>
    <w:link w:val="Style_20_ch"/>
    <w:pPr>
      <w:widowControl w:val="0"/>
      <w:spacing w:after="0" w:line="240" w:lineRule="auto"/>
      <w:ind/>
    </w:pPr>
    <w:rPr>
      <w:rFonts w:ascii="Tahoma" w:hAnsi="Tahoma"/>
      <w:sz w:val="16"/>
    </w:rPr>
  </w:style>
  <w:style w:styleId="Style_20_ch" w:type="character">
    <w:name w:val="Balloon Text"/>
    <w:basedOn w:val="Style_4_ch"/>
    <w:link w:val="Style_20"/>
    <w:rPr>
      <w:rFonts w:ascii="Tahoma" w:hAnsi="Tahoma"/>
      <w:sz w:val="16"/>
    </w:rPr>
  </w:style>
  <w:style w:styleId="Style_21" w:type="paragraph">
    <w:name w:val="toc 5"/>
    <w:next w:val="Style_4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23" w:type="paragraph">
    <w:name w:val="Subtitle"/>
    <w:next w:val="Style_4"/>
    <w:link w:val="Style_23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4"/>
    <w:link w:val="Style_24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4"/>
    <w:link w:val="Style_26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7" w:type="table">
    <w:name w:val="Table Grid"/>
    <w:basedOn w:val="Style_3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footer1.xml" Type="http://schemas.openxmlformats.org/officeDocument/2006/relationships/footer"/>
  <Relationship Id="rId10" Target="theme/theme1.xml" Type="http://schemas.openxmlformats.org/officeDocument/2006/relationships/theme"/>
  <Relationship Id="rId2" Target="header2.xml" Type="http://schemas.openxmlformats.org/officeDocument/2006/relationships/header"/>
  <Relationship Id="rId3" Target="footer3.xml" Type="http://schemas.openxmlformats.org/officeDocument/2006/relationships/footer"/>
  <Relationship Id="rId8" Target="stylesWithEffects.xml" Type="http://schemas.microsoft.com/office/2007/relationships/stylesWithEffects"/>
  <Relationship Id="rId4" Target="header4.xml" Type="http://schemas.openxmlformats.org/officeDocument/2006/relationships/header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2026-08-14T08:02:35Z</dcterms:created>
  <dcterms:modified xsi:type="dcterms:W3CDTF">2026-08-17T03:57:51Z</dcterms:modified>
</cp:coreProperties>
</file>