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7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B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C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D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E000000">
      <w:pPr>
        <w:rPr>
          <w:spacing w:val="-4"/>
          <w:sz w:val="28"/>
        </w:rPr>
      </w:pPr>
    </w:p>
    <w:p w14:paraId="0F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06.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5664</w:t>
      </w:r>
      <w:r>
        <w:rPr>
          <w:spacing w:val="-4"/>
          <w:sz w:val="28"/>
        </w:rPr>
        <w:t>-П</w:t>
      </w:r>
    </w:p>
    <w:p w14:paraId="10000000">
      <w:pPr>
        <w:pStyle w:val="Style_3"/>
        <w:widowControl w:val="1"/>
        <w:spacing w:after="0" w:before="0" w:line="240" w:lineRule="auto"/>
        <w:ind w:firstLine="0" w:left="0" w:right="4762"/>
        <w:jc w:val="lef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О внесении изменений в постановление администрации города Магнитогорска от 28.01.2014 № 897-П</w:t>
      </w:r>
    </w:p>
    <w:p w14:paraId="11000000">
      <w:pPr>
        <w:pStyle w:val="Style_3"/>
        <w:widowControl w:val="1"/>
        <w:spacing w:after="0" w:before="0" w:line="240" w:lineRule="auto"/>
        <w:ind/>
        <w:rPr>
          <w:rFonts w:ascii="PT Astra Serif" w:hAnsi="PT Astra Serif"/>
          <w:sz w:val="26"/>
        </w:rPr>
      </w:pPr>
    </w:p>
    <w:p w14:paraId="12000000">
      <w:pPr>
        <w:pStyle w:val="Style_4"/>
        <w:widowControl w:val="1"/>
        <w:spacing w:after="0" w:before="0" w:line="240" w:lineRule="auto"/>
        <w:ind w:firstLine="708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В соответствии с федеральными законами от 06.10.2003 № 131-ФЗ                     «Об общих принципах организации местного самоуправления в Российской Федерации», от 13.03.2006 № 38-ФЗ «О рекламе», Решением Магнитогорского городского Собрания депутатов от 29 мая 2012 года № 82 «Об утверждении новой редакции Положения о наружной рекламе в городе Магнитогорске», руководствуясь Уставом города Магнитогорска,</w:t>
      </w:r>
    </w:p>
    <w:p w14:paraId="13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14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ПОСТАНОВЛЯЮ:</w:t>
      </w:r>
    </w:p>
    <w:p w14:paraId="15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Внести в постановление администрации города Магнитогорска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 xml:space="preserve">от 28.01.2014 № 897-П «Об утверждении схемы размещения рекламных конструкций на земельных участках независимо от форм собственности,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 xml:space="preserve">а также на зданиях или ином недвижимом имуществе, находящихся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>в собственности субъектов Российской Федерации или муниципальной собственности» (далее – постановление) следующие изменения:</w:t>
      </w:r>
    </w:p>
    <w:p w14:paraId="16000000">
      <w:pPr>
        <w:pStyle w:val="Style_3"/>
        <w:widowControl w:val="1"/>
        <w:numPr>
          <w:ilvl w:val="0"/>
          <w:numId w:val="2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приложение №1 к постановлению дополнить пунктами 1205-1214 следующего содержания:</w:t>
      </w:r>
    </w:p>
    <w:p w14:paraId="17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left="709"/>
        <w:jc w:val="both"/>
        <w:rPr>
          <w:rFonts w:ascii="PT Astra Serif" w:hAnsi="PT Astra Serif"/>
          <w:sz w:val="10"/>
        </w:rPr>
      </w:pPr>
    </w:p>
    <w:tbl>
      <w:tblPr>
        <w:tblStyle w:val="Style_5"/>
        <w:tblW w:type="auto" w:w="0"/>
        <w:jc w:val="left"/>
        <w:tblInd w:type="dxa" w:w="-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21"/>
        <w:gridCol w:w="879"/>
        <w:gridCol w:w="1277"/>
        <w:gridCol w:w="2834"/>
        <w:gridCol w:w="851"/>
        <w:gridCol w:w="1135"/>
        <w:gridCol w:w="1983"/>
      </w:tblGrid>
      <w:tr>
        <w:trPr>
          <w:trHeight w:hRule="atLeast" w:val="495"/>
        </w:trPr>
        <w:tc>
          <w:tcPr>
            <w:tcW w:type="dxa" w:w="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pStyle w:val="Style_3"/>
              <w:widowControl w:val="1"/>
              <w:spacing w:after="200" w:before="0" w:line="240" w:lineRule="auto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1205</w:t>
            </w:r>
          </w:p>
        </w:tc>
        <w:tc>
          <w:tcPr>
            <w:tcW w:type="dxa" w:w="87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205н</w:t>
            </w:r>
          </w:p>
          <w:p w14:paraId="1A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 xml:space="preserve"> </w:t>
            </w:r>
          </w:p>
          <w:p w14:paraId="1B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1C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1D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  <w:highlight w:val="yellow"/>
              </w:rPr>
            </w:pPr>
          </w:p>
          <w:p w14:paraId="1E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277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773-2169</w:t>
            </w:r>
          </w:p>
          <w:p w14:paraId="20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21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22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23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24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pStyle w:val="Style_3"/>
              <w:widowControl w:val="1"/>
              <w:spacing w:after="200" w:before="0" w:line="240" w:lineRule="auto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пересечение ш. Западное и ул. 50-летия Магнитки,                   п. Светлый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4482</w:t>
            </w:r>
          </w:p>
          <w:p w14:paraId="27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28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29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1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40,00</w:t>
            </w:r>
          </w:p>
          <w:p w14:paraId="2B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2C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2D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  <w:highlight w:val="yellow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Односторонний щит</w:t>
            </w:r>
          </w:p>
          <w:p w14:paraId="2F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30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31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525"/>
        </w:trPr>
        <w:tc>
          <w:tcPr>
            <w:tcW w:type="dxa" w:w="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pStyle w:val="Style_3"/>
              <w:widowControl w:val="1"/>
              <w:spacing w:after="200" w:before="0" w:line="240" w:lineRule="auto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1206</w:t>
            </w:r>
          </w:p>
        </w:tc>
        <w:tc>
          <w:tcPr>
            <w:tcW w:type="dxa" w:w="87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3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206н</w:t>
            </w:r>
          </w:p>
          <w:p w14:paraId="34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35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36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277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773-2170</w:t>
            </w:r>
          </w:p>
          <w:p w14:paraId="38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39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3A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pStyle w:val="Style_3"/>
              <w:widowControl w:val="1"/>
              <w:spacing w:after="200" w:before="0" w:line="240" w:lineRule="auto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ул. Магнитная, 158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4483</w:t>
            </w:r>
          </w:p>
          <w:p w14:paraId="3D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3E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3F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1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18,00*2</w:t>
            </w:r>
          </w:p>
          <w:p w14:paraId="41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42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43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 xml:space="preserve">Светодиодный экран </w:t>
            </w:r>
          </w:p>
          <w:p w14:paraId="45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 xml:space="preserve"> </w:t>
            </w:r>
          </w:p>
          <w:p w14:paraId="46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49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pStyle w:val="Style_3"/>
              <w:widowControl w:val="1"/>
              <w:spacing w:after="200" w:before="0" w:line="240" w:lineRule="auto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1207</w:t>
            </w:r>
          </w:p>
        </w:tc>
        <w:tc>
          <w:tcPr>
            <w:tcW w:type="dxa" w:w="87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8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1541</w:t>
            </w:r>
          </w:p>
          <w:p w14:paraId="49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4A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4B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277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773-2175</w:t>
            </w:r>
          </w:p>
          <w:p w14:paraId="4D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4E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4F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283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pStyle w:val="Style_3"/>
              <w:widowControl w:val="1"/>
              <w:spacing w:after="0" w:before="0" w:line="240" w:lineRule="auto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 xml:space="preserve">в районе </w:t>
            </w:r>
          </w:p>
          <w:p w14:paraId="51000000">
            <w:pPr>
              <w:pStyle w:val="Style_3"/>
              <w:widowControl w:val="1"/>
              <w:spacing w:after="0" w:before="0" w:line="240" w:lineRule="auto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ул. Малиновая, 16</w:t>
            </w:r>
          </w:p>
        </w:tc>
        <w:tc>
          <w:tcPr>
            <w:tcW w:type="dxa" w:w="85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4484</w:t>
            </w:r>
          </w:p>
          <w:p w14:paraId="53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54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55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1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36,00</w:t>
            </w:r>
          </w:p>
          <w:p w14:paraId="57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58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59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Двухсторонний щит</w:t>
            </w:r>
          </w:p>
          <w:p w14:paraId="5B000000">
            <w:pPr>
              <w:pStyle w:val="Style_3"/>
              <w:widowControl w:val="1"/>
              <w:spacing w:after="20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495"/>
        </w:trPr>
        <w:tc>
          <w:tcPr>
            <w:tcW w:type="dxa" w:w="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pStyle w:val="Style_3"/>
              <w:widowControl w:val="1"/>
              <w:spacing w:after="200" w:before="0" w:line="240" w:lineRule="auto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1208</w:t>
            </w:r>
          </w:p>
        </w:tc>
        <w:tc>
          <w:tcPr>
            <w:tcW w:type="dxa" w:w="8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D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207н</w:t>
            </w:r>
          </w:p>
          <w:p w14:paraId="5E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5F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773-2171</w:t>
            </w:r>
          </w:p>
          <w:p w14:paraId="61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  <w:bookmarkStart w:id="1" w:name="_GoBack"/>
            <w:bookmarkEnd w:id="1"/>
          </w:p>
          <w:p w14:paraId="62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pStyle w:val="Style_3"/>
              <w:widowControl w:val="1"/>
              <w:spacing w:after="200" w:before="0" w:line="240" w:lineRule="auto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Челябинский тракт, 29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4485</w:t>
            </w:r>
          </w:p>
          <w:p w14:paraId="65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66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1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19,00</w:t>
            </w:r>
          </w:p>
          <w:p w14:paraId="68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69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 xml:space="preserve">Стела с экраном </w:t>
            </w:r>
          </w:p>
          <w:p w14:paraId="6B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495"/>
        </w:trPr>
        <w:tc>
          <w:tcPr>
            <w:tcW w:type="dxa" w:w="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pStyle w:val="Style_3"/>
              <w:widowControl w:val="1"/>
              <w:spacing w:after="20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1209</w:t>
            </w:r>
          </w:p>
        </w:tc>
        <w:tc>
          <w:tcPr>
            <w:tcW w:type="dxa" w:w="87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pStyle w:val="Style_3"/>
              <w:widowControl w:val="1"/>
              <w:spacing w:after="20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208н</w:t>
            </w:r>
          </w:p>
        </w:tc>
        <w:tc>
          <w:tcPr>
            <w:tcW w:type="dxa" w:w="1277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773-2172</w:t>
            </w:r>
          </w:p>
          <w:p w14:paraId="6F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70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71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pStyle w:val="Style_3"/>
              <w:widowControl w:val="1"/>
              <w:spacing w:after="200" w:before="0" w:line="240" w:lineRule="auto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ул. Галиуллина, 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4486</w:t>
            </w:r>
          </w:p>
          <w:p w14:paraId="74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75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76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1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19,00</w:t>
            </w:r>
          </w:p>
          <w:p w14:paraId="78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79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7A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 xml:space="preserve">Стела с экраном </w:t>
            </w:r>
          </w:p>
          <w:p w14:paraId="7C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7D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495"/>
        </w:trPr>
        <w:tc>
          <w:tcPr>
            <w:tcW w:type="dxa" w:w="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pStyle w:val="Style_3"/>
              <w:widowControl w:val="1"/>
              <w:spacing w:after="200" w:before="0" w:line="240" w:lineRule="auto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1210</w:t>
            </w:r>
          </w:p>
        </w:tc>
        <w:tc>
          <w:tcPr>
            <w:tcW w:type="dxa" w:w="87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F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209н</w:t>
            </w:r>
          </w:p>
          <w:p w14:paraId="80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81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82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277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773-2173</w:t>
            </w:r>
          </w:p>
          <w:p w14:paraId="84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85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86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pStyle w:val="Style_3"/>
              <w:widowControl w:val="1"/>
              <w:spacing w:after="200" w:before="0" w:line="240" w:lineRule="auto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ул. Советской Армии, 53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4487</w:t>
            </w:r>
          </w:p>
          <w:p w14:paraId="89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8A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8B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1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9,50</w:t>
            </w:r>
          </w:p>
          <w:p w14:paraId="8D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8E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8F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  <w:highlight w:val="yellow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pStyle w:val="Style_3"/>
              <w:widowControl w:val="1"/>
              <w:spacing w:after="20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Стела с экраном</w:t>
            </w:r>
          </w:p>
        </w:tc>
      </w:tr>
      <w:tr>
        <w:trPr>
          <w:trHeight w:hRule="atLeast" w:val="495"/>
        </w:trPr>
        <w:tc>
          <w:tcPr>
            <w:tcW w:type="dxa" w:w="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pStyle w:val="Style_3"/>
              <w:widowControl w:val="1"/>
              <w:spacing w:after="200" w:before="0" w:line="240" w:lineRule="auto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1211</w:t>
            </w:r>
          </w:p>
        </w:tc>
        <w:tc>
          <w:tcPr>
            <w:tcW w:type="dxa" w:w="87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2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210н</w:t>
            </w:r>
          </w:p>
          <w:p w14:paraId="93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94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95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277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773-2174</w:t>
            </w:r>
          </w:p>
          <w:p w14:paraId="97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98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99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pStyle w:val="Style_3"/>
              <w:widowControl w:val="1"/>
              <w:spacing w:after="200" w:before="0" w:line="240" w:lineRule="auto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въезд в пос. Светлый,                 конструкция № 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4488</w:t>
            </w:r>
          </w:p>
          <w:p w14:paraId="9C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9D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9E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1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36,00</w:t>
            </w:r>
          </w:p>
          <w:p w14:paraId="A0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A1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A2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Двухсторонний щит</w:t>
            </w:r>
          </w:p>
          <w:p w14:paraId="A4000000">
            <w:pPr>
              <w:pStyle w:val="Style_3"/>
              <w:widowControl w:val="1"/>
              <w:spacing w:after="20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869"/>
        </w:trPr>
        <w:tc>
          <w:tcPr>
            <w:tcW w:type="dxa" w:w="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pStyle w:val="Style_3"/>
              <w:widowControl w:val="1"/>
              <w:spacing w:after="200" w:before="0" w:line="240" w:lineRule="auto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1212</w:t>
            </w:r>
          </w:p>
        </w:tc>
        <w:tc>
          <w:tcPr>
            <w:tcW w:type="dxa" w:w="87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6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211н</w:t>
            </w:r>
          </w:p>
          <w:p w14:paraId="A7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A8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A9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277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773-2176</w:t>
            </w:r>
          </w:p>
          <w:p w14:paraId="AB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AC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AD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pStyle w:val="Style_3"/>
              <w:widowControl w:val="1"/>
              <w:spacing w:after="200" w:before="0" w:line="240" w:lineRule="auto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шоссе Западное, конструкция № 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4489</w:t>
            </w:r>
          </w:p>
          <w:p w14:paraId="B0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B1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B2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1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36,00</w:t>
            </w:r>
          </w:p>
          <w:p w14:paraId="B4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B5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B6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Двухсторонний щит</w:t>
            </w:r>
          </w:p>
          <w:p w14:paraId="B8000000">
            <w:pPr>
              <w:pStyle w:val="Style_3"/>
              <w:widowControl w:val="1"/>
              <w:spacing w:after="20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869"/>
        </w:trPr>
        <w:tc>
          <w:tcPr>
            <w:tcW w:type="dxa" w:w="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pStyle w:val="Style_3"/>
              <w:widowControl w:val="1"/>
              <w:spacing w:after="200" w:before="0" w:line="240" w:lineRule="auto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1213</w:t>
            </w:r>
          </w:p>
        </w:tc>
        <w:tc>
          <w:tcPr>
            <w:tcW w:type="dxa" w:w="87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A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1540</w:t>
            </w:r>
          </w:p>
          <w:p w14:paraId="BB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BC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BD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BE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BF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277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773-2177</w:t>
            </w:r>
          </w:p>
          <w:p w14:paraId="C1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C2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C3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C4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C5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pStyle w:val="Style_3"/>
              <w:widowControl w:val="1"/>
              <w:spacing w:after="200" w:before="0" w:line="240" w:lineRule="auto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пересечение ул. Тевосяна и ул. Радужная, северо-восточный угол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4490</w:t>
            </w:r>
          </w:p>
          <w:p w14:paraId="C8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C9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CA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CB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CC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1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18,00</w:t>
            </w:r>
          </w:p>
          <w:p w14:paraId="CE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CF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D0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D1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D2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 xml:space="preserve">Светодиодный экран </w:t>
            </w:r>
          </w:p>
          <w:p w14:paraId="D4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D5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D6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 xml:space="preserve"> </w:t>
            </w:r>
          </w:p>
          <w:p w14:paraId="D7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1016"/>
        </w:trPr>
        <w:tc>
          <w:tcPr>
            <w:tcW w:type="dxa" w:w="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pStyle w:val="Style_3"/>
              <w:widowControl w:val="1"/>
              <w:spacing w:after="200" w:before="0" w:line="240" w:lineRule="auto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1214</w:t>
            </w:r>
          </w:p>
        </w:tc>
        <w:tc>
          <w:tcPr>
            <w:tcW w:type="dxa" w:w="87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9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212н</w:t>
            </w:r>
          </w:p>
          <w:p w14:paraId="DA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DB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DC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277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773-2178</w:t>
            </w:r>
          </w:p>
          <w:p w14:paraId="DE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DF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E0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28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pStyle w:val="Style_3"/>
              <w:widowControl w:val="1"/>
              <w:spacing w:after="200" w:before="0" w:line="240" w:lineRule="auto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пересечение ул. Тевосяна и ул. Радужная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4491</w:t>
            </w:r>
          </w:p>
          <w:p w14:paraId="E3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E4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E5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1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40,00</w:t>
            </w:r>
          </w:p>
          <w:p w14:paraId="E7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E8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  <w:p w14:paraId="E9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>Видеоэкран</w:t>
            </w:r>
          </w:p>
          <w:p w14:paraId="EB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 xml:space="preserve"> </w:t>
            </w:r>
          </w:p>
          <w:p w14:paraId="EC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</w:rPr>
              <w:t xml:space="preserve"> </w:t>
            </w:r>
          </w:p>
          <w:p w14:paraId="ED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</w:tr>
    </w:tbl>
    <w:p w14:paraId="EE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p w14:paraId="EF000000">
      <w:pPr>
        <w:pStyle w:val="Style_3"/>
        <w:widowControl w:val="1"/>
        <w:numPr>
          <w:ilvl w:val="0"/>
          <w:numId w:val="2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в приложении № 1 к постановлению пункты 1022, 858, 859, 562, 1044, 723, 710, 711, 712, 772, 861, 862, 863, 864, 865, 866, 867 исключить;</w:t>
      </w:r>
    </w:p>
    <w:p w14:paraId="F0000000">
      <w:pPr>
        <w:pStyle w:val="Style_3"/>
        <w:widowControl w:val="1"/>
        <w:numPr>
          <w:ilvl w:val="0"/>
          <w:numId w:val="2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приложение № 2 к постановлению изложить в новой редакции (приложение).</w:t>
      </w:r>
    </w:p>
    <w:p w14:paraId="F1000000">
      <w:pPr>
        <w:pStyle w:val="Style_3"/>
        <w:widowControl w:val="1"/>
        <w:numPr>
          <w:ilvl w:val="0"/>
          <w:numId w:val="3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Настоящее постановление вступает в силу после его официального опубликования.</w:t>
      </w:r>
    </w:p>
    <w:p w14:paraId="F2000000">
      <w:pPr>
        <w:pStyle w:val="Style_3"/>
        <w:widowControl w:val="1"/>
        <w:numPr>
          <w:ilvl w:val="0"/>
          <w:numId w:val="3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Службе внешних связей и молодежной политики администрации города Магнитогорска (Числова Г.Д.) опубликовать настоящее постановление в средствах массовой информации и разместить на официальном Интернет-сайте администрации города Магнитогорска. </w:t>
      </w:r>
    </w:p>
    <w:p w14:paraId="F3000000">
      <w:pPr>
        <w:pStyle w:val="Style_3"/>
        <w:widowControl w:val="1"/>
        <w:numPr>
          <w:ilvl w:val="0"/>
          <w:numId w:val="3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pacing w:val="-6"/>
          <w:sz w:val="26"/>
        </w:rPr>
        <w:t>Контроль исполнения настоящего постановления возложить на заместителя</w:t>
      </w:r>
      <w:r>
        <w:rPr>
          <w:rFonts w:ascii="PT Astra Serif" w:hAnsi="PT Astra Serif"/>
          <w:sz w:val="26"/>
        </w:rPr>
        <w:t xml:space="preserve"> </w:t>
      </w:r>
      <w:r>
        <w:rPr>
          <w:rFonts w:ascii="PT Astra Serif" w:hAnsi="PT Astra Serif"/>
          <w:sz w:val="26"/>
        </w:rPr>
        <w:t>Г</w:t>
      </w:r>
      <w:r>
        <w:rPr>
          <w:rFonts w:ascii="PT Astra Serif" w:hAnsi="PT Astra Serif"/>
          <w:sz w:val="26"/>
        </w:rPr>
        <w:t>лавы города Магнитогорска Хабибуллину Д.Х.</w:t>
      </w:r>
    </w:p>
    <w:p w14:paraId="F4000000">
      <w:pPr>
        <w:pStyle w:val="Style_3"/>
        <w:widowControl w:val="1"/>
        <w:spacing w:after="0" w:before="0" w:line="240" w:lineRule="auto"/>
        <w:ind/>
        <w:rPr>
          <w:rFonts w:ascii="PT Astra Serif" w:hAnsi="PT Astra Serif"/>
          <w:sz w:val="26"/>
        </w:rPr>
      </w:pPr>
    </w:p>
    <w:p w14:paraId="F5000000">
      <w:pPr>
        <w:pStyle w:val="Style_3"/>
        <w:widowControl w:val="1"/>
        <w:spacing w:after="0" w:before="0" w:line="240" w:lineRule="auto"/>
        <w:ind/>
        <w:rPr>
          <w:rFonts w:ascii="PT Astra Serif" w:hAnsi="PT Astra Serif"/>
          <w:sz w:val="26"/>
        </w:rPr>
      </w:pPr>
    </w:p>
    <w:p w14:paraId="F6000000">
      <w:pPr>
        <w:pStyle w:val="Style_3"/>
        <w:widowControl w:val="1"/>
        <w:spacing w:after="0" w:before="0" w:line="240" w:lineRule="auto"/>
        <w:ind/>
        <w:rPr>
          <w:rFonts w:ascii="PT Astra Serif" w:hAnsi="PT Astra Serif"/>
          <w:sz w:val="26"/>
        </w:rPr>
      </w:pPr>
    </w:p>
    <w:p w14:paraId="F7000000">
      <w:pPr>
        <w:pStyle w:val="Style_3"/>
        <w:widowControl w:val="1"/>
        <w:spacing w:after="0" w:before="0" w:line="240" w:lineRule="auto"/>
        <w:ind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Глава города Магнитогорска                                                                   С.Н. Бердников</w:t>
      </w:r>
    </w:p>
    <w:p w14:paraId="F8000000">
      <w:pPr>
        <w:sectPr>
          <w:headerReference r:id="rId1" w:type="default"/>
          <w:headerReference r:id="rId3" w:type="even"/>
          <w:footerReference r:id="rId2" w:type="first"/>
          <w:footerReference r:id="rId4" w:type="even"/>
          <w:type w:val="nextPage"/>
          <w:pgSz w:h="16838" w:orient="portrait" w:w="11906"/>
          <w:pgMar w:bottom="1134" w:footer="709" w:gutter="0" w:header="709" w:left="1701" w:right="851" w:top="1134"/>
          <w:pgNumType w:fmt="decimal"/>
          <w:titlePg/>
        </w:sectPr>
      </w:pPr>
    </w:p>
    <w:p w14:paraId="F9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2"/>
        </w:rPr>
      </w:pPr>
    </w:p>
    <w:p w14:paraId="FA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2"/>
        </w:rPr>
      </w:pPr>
    </w:p>
    <w:p w14:paraId="FB000000">
      <w:pPr>
        <w:pStyle w:val="Style_3"/>
        <w:widowControl w:val="1"/>
        <w:spacing w:after="0" w:before="0" w:line="240" w:lineRule="auto"/>
        <w:ind/>
        <w:jc w:val="both"/>
      </w:pPr>
    </w:p>
    <w:p w14:paraId="FC000000">
      <w:pPr>
        <w:pStyle w:val="Style_3"/>
        <w:rPr>
          <w:rFonts w:ascii="Times New Roman" w:hAnsi="Times New Roman"/>
          <w:sz w:val="28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20955" distL="0" distR="17780" distT="0" layoutInCell="true" locked="false" relativeHeight="251658240" simplePos="false">
                <wp:simplePos x="0" y="0"/>
                <wp:positionH relativeFrom="margin">
                  <wp:posOffset>4319269</wp:posOffset>
                </wp:positionH>
                <wp:positionV relativeFrom="page">
                  <wp:posOffset>589911</wp:posOffset>
                </wp:positionV>
                <wp:extent cx="1830070" cy="1255395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007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FD000000">
                            <w:pPr>
                              <w:pStyle w:val="Style_6"/>
                              <w:widowControl w:val="1"/>
                              <w:spacing w:after="0" w:before="0" w:line="240" w:lineRule="auto"/>
                              <w:ind/>
                              <w:rPr>
                                <w:rFonts w:ascii="Times New Roman" w:hAnsi="Times New Roman"/>
                                <w:spacing w:val="0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0"/>
                                <w:sz w:val="18"/>
                              </w:rPr>
                              <w:t xml:space="preserve">Приложение  </w:t>
                            </w:r>
                          </w:p>
                          <w:p w14:paraId="FE000000">
                            <w:pPr>
                              <w:pStyle w:val="Style_6"/>
                              <w:widowControl w:val="1"/>
                              <w:spacing w:after="0" w:before="0" w:line="240" w:lineRule="auto"/>
                              <w:ind/>
                              <w:rPr>
                                <w:rFonts w:ascii="Times New Roman" w:hAnsi="Times New Roman"/>
                                <w:spacing w:val="0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0"/>
                                <w:sz w:val="18"/>
                              </w:rPr>
                              <w:t xml:space="preserve">к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spacing w:val="0"/>
                                <w:sz w:val="18"/>
                              </w:rPr>
                              <w:t>постановлению</w:t>
                            </w:r>
                            <w:r>
                              <w:rPr>
                                <w:rFonts w:ascii="Times New Roman" w:hAnsi="Times New Roman"/>
                                <w:spacing w:val="0"/>
                                <w:sz w:val="18"/>
                              </w:rPr>
                              <w:t xml:space="preserve"> администрации города Магнитогорска</w:t>
                            </w:r>
                          </w:p>
                          <w:p w14:paraId="FF000000">
                            <w:pPr>
                              <w:pStyle w:val="Style_6"/>
                              <w:widowControl w:val="1"/>
                              <w:spacing w:after="0" w:before="0" w:line="240" w:lineRule="auto"/>
                              <w:ind/>
                              <w:rPr>
                                <w:rFonts w:ascii="Times New Roman" w:hAnsi="Times New Roman"/>
                                <w:spacing w:val="0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0"/>
                                <w:sz w:val="18"/>
                              </w:rPr>
                              <w:t>от 06.08.2026 № 5664-П</w:t>
                            </w:r>
                          </w:p>
                          <w:p w14:paraId="00010000">
                            <w:pPr>
                              <w:pStyle w:val="Style_6"/>
                              <w:widowControl w:val="1"/>
                              <w:spacing w:after="0" w:before="0" w:line="240" w:lineRule="auto"/>
                              <w:ind/>
                              <w:rPr>
                                <w:rFonts w:ascii="Times New Roman" w:hAnsi="Times New Roman"/>
                                <w:spacing w:val="0"/>
                                <w:sz w:val="18"/>
                              </w:rPr>
                            </w:pPr>
                          </w:p>
                          <w:p w14:paraId="01010000">
                            <w:pPr>
                              <w:pStyle w:val="Style_6"/>
                              <w:widowControl w:val="1"/>
                              <w:spacing w:after="0" w:before="0" w:line="240" w:lineRule="auto"/>
                              <w:ind/>
                              <w:rPr>
                                <w:rFonts w:ascii="Times New Roman" w:hAnsi="Times New Roman"/>
                                <w:spacing w:val="0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0"/>
                                <w:sz w:val="18"/>
                              </w:rPr>
                              <w:t xml:space="preserve">Приложение № 2 </w:t>
                            </w:r>
                          </w:p>
                          <w:p w14:paraId="02010000">
                            <w:pPr>
                              <w:pStyle w:val="Style_6"/>
                              <w:widowControl w:val="1"/>
                              <w:spacing w:after="0" w:before="0" w:line="240" w:lineRule="auto"/>
                              <w:ind/>
                              <w:rPr>
                                <w:rFonts w:ascii="Times New Roman" w:hAnsi="Times New Roman"/>
                                <w:spacing w:val="0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0"/>
                                <w:sz w:val="18"/>
                              </w:rPr>
                              <w:t>к постановлению администрации города Магнитогорска</w:t>
                            </w:r>
                          </w:p>
                          <w:p w14:paraId="03010000">
                            <w:pPr>
                              <w:pStyle w:val="Style_6"/>
                              <w:widowControl w:val="1"/>
                              <w:spacing w:after="0" w:before="0" w:line="240" w:lineRule="auto"/>
                              <w:ind/>
                              <w:rPr>
                                <w:rFonts w:ascii="Times New Roman" w:hAnsi="Times New Roman"/>
                                <w:spacing w:val="0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0"/>
                                <w:sz w:val="18"/>
                              </w:rPr>
                              <w:t xml:space="preserve">от </w:t>
                            </w:r>
                            <w:r>
                              <w:rPr>
                                <w:rFonts w:ascii="Times New Roman" w:hAnsi="Times New Roman"/>
                                <w:spacing w:val="0"/>
                                <w:sz w:val="18"/>
                              </w:rPr>
                              <w:t>28.01.2014</w:t>
                            </w:r>
                            <w:r>
                              <w:rPr>
                                <w:rFonts w:ascii="Times New Roman" w:hAnsi="Times New Roman"/>
                                <w:spacing w:val="0"/>
                                <w:sz w:val="18"/>
                              </w:rPr>
                              <w:t xml:space="preserve"> № </w:t>
                            </w:r>
                            <w:r>
                              <w:rPr>
                                <w:rFonts w:ascii="Times New Roman" w:hAnsi="Times New Roman"/>
                                <w:spacing w:val="0"/>
                                <w:sz w:val="18"/>
                              </w:rPr>
                              <w:t>897</w:t>
                            </w:r>
                            <w:r>
                              <w:rPr>
                                <w:rFonts w:ascii="Times New Roman" w:hAnsi="Times New Roman"/>
                                <w:spacing w:val="0"/>
                                <w:sz w:val="18"/>
                              </w:rPr>
                              <w:t>-П</w:t>
                            </w: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drawing>
          <wp:inline>
            <wp:extent cx="5984240" cy="805561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9"/>
                    <a:stretch/>
                  </pic:blipFill>
                  <pic:spPr>
                    <a:xfrm flipH="false" flipV="false" rot="0">
                      <a:ext cx="5984240" cy="805561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10000">
      <w:pPr>
        <w:pStyle w:val="Style_3"/>
        <w:widowControl w:val="1"/>
        <w:spacing w:after="200" w:before="0"/>
        <w:ind/>
        <w:rPr>
          <w:rFonts w:ascii="Times New Roman" w:hAnsi="Times New Roman"/>
          <w:sz w:val="28"/>
        </w:rPr>
      </w:pPr>
    </w:p>
    <w:sectPr>
      <w:headerReference r:id="rId5" w:type="default"/>
      <w:headerReference r:id="rId6" w:type="even"/>
      <w:footerReference r:id="rId8" w:type="first"/>
      <w:footerReference r:id="rId7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1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Вр-2411918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footer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2"/>
    </w:pP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2"/>
      <w:widowControl w:val="1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Вр-2411918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7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1080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80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252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324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96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68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40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612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840"/>
      </w:pPr>
    </w:lvl>
  </w:abstractNum>
  <w:abstractNum w:abstractNumId="1">
    <w:lvl w:ilvl="0">
      <w:start w:val="1"/>
      <w:numFmt w:val="decimal"/>
      <w:lvlText w:val="%1)"/>
      <w:lvlJc w:val="left"/>
      <w:pPr>
        <w:widowControl w:val="1"/>
        <w:tabs>
          <w:tab w:leader="none" w:pos="0" w:val="left"/>
        </w:tabs>
        <w:ind w:hanging="360" w:left="1080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80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252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324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96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68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40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612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840"/>
      </w:pPr>
    </w:lvl>
  </w:abstractNum>
  <w:abstractNum w:abstractNumId="2">
    <w:lvl w:ilvl="0">
      <w:start w:val="2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7" w:type="paragraph">
    <w:name w:val="toc 2"/>
    <w:next w:val="Style_3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Верхний колонтитул Знак"/>
    <w:basedOn w:val="Style_9"/>
    <w:link w:val="Style_8_ch"/>
  </w:style>
  <w:style w:styleId="Style_8_ch" w:type="character">
    <w:name w:val="Верхний колонтитул Знак"/>
    <w:basedOn w:val="Style_9_ch"/>
    <w:link w:val="Style_8"/>
  </w:style>
  <w:style w:styleId="Style_10" w:type="paragraph">
    <w:name w:val="toc 4"/>
    <w:next w:val="Style_3"/>
    <w:link w:val="Style_10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3"/>
    <w:link w:val="Style_11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3"/>
    <w:link w:val="Style_12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End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3"/>
    <w:link w:val="Style_14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4" w:type="paragraph">
    <w:name w:val="Обычный1"/>
    <w:link w:val="Style_4_ch"/>
    <w:pPr>
      <w:widowControl w:val="0"/>
      <w:spacing w:after="120" w:before="0" w:line="264" w:lineRule="auto"/>
      <w:ind/>
      <w:jc w:val="left"/>
    </w:pPr>
    <w:rPr>
      <w:rFonts w:asciiTheme="minorAscii" w:hAnsiTheme="minorHAnsi"/>
      <w:color w:val="000000"/>
      <w:sz w:val="21"/>
    </w:rPr>
  </w:style>
  <w:style w:styleId="Style_4_ch" w:type="character">
    <w:name w:val="Обычный1"/>
    <w:link w:val="Style_4"/>
    <w:rPr>
      <w:rFonts w:asciiTheme="minorAscii" w:hAnsiTheme="minorHAnsi"/>
      <w:color w:val="000000"/>
      <w:sz w:val="21"/>
    </w:rPr>
  </w:style>
  <w:style w:styleId="Style_15" w:type="paragraph">
    <w:name w:val="Заголовок"/>
    <w:basedOn w:val="Style_3"/>
    <w:next w:val="Style_16"/>
    <w:link w:val="Style_15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5_ch" w:type="character">
    <w:name w:val="Заголовок"/>
    <w:basedOn w:val="Style_3_ch"/>
    <w:link w:val="Style_15"/>
    <w:rPr>
      <w:rFonts w:ascii="PT Astra Serif" w:hAnsi="PT Astra Serif"/>
      <w:sz w:val="28"/>
    </w:rPr>
  </w:style>
  <w:style w:styleId="Style_16" w:type="paragraph">
    <w:name w:val="Body Text"/>
    <w:basedOn w:val="Style_3"/>
    <w:link w:val="Style_16_ch"/>
    <w:pPr>
      <w:widowControl w:val="1"/>
      <w:spacing w:after="140" w:before="0" w:line="276" w:lineRule="auto"/>
      <w:ind/>
    </w:pPr>
  </w:style>
  <w:style w:styleId="Style_16_ch" w:type="character">
    <w:name w:val="Body Text"/>
    <w:basedOn w:val="Style_3_ch"/>
    <w:link w:val="Style_16"/>
  </w:style>
  <w:style w:styleId="Style_17" w:type="paragraph">
    <w:name w:val="Указатель"/>
    <w:basedOn w:val="Style_3"/>
    <w:link w:val="Style_17_ch"/>
    <w:rPr>
      <w:rFonts w:ascii="PT Astra Serif" w:hAnsi="PT Astra Serif"/>
    </w:rPr>
  </w:style>
  <w:style w:styleId="Style_17_ch" w:type="character">
    <w:name w:val="Указатель"/>
    <w:basedOn w:val="Style_3_ch"/>
    <w:link w:val="Style_17"/>
    <w:rPr>
      <w:rFonts w:ascii="PT Astra Serif" w:hAnsi="PT Astra Serif"/>
    </w:rPr>
  </w:style>
  <w:style w:styleId="Style_18" w:type="paragraph">
    <w:name w:val="List"/>
    <w:basedOn w:val="Style_16"/>
    <w:link w:val="Style_18_ch"/>
    <w:rPr>
      <w:rFonts w:ascii="PT Astra Serif" w:hAnsi="PT Astra Serif"/>
    </w:rPr>
  </w:style>
  <w:style w:styleId="Style_18_ch" w:type="character">
    <w:name w:val="List"/>
    <w:basedOn w:val="Style_16_ch"/>
    <w:link w:val="Style_18"/>
    <w:rPr>
      <w:rFonts w:ascii="PT Astra Serif" w:hAnsi="PT Astra Serif"/>
    </w:rPr>
  </w:style>
  <w:style w:styleId="Style_19" w:type="paragraph">
    <w:name w:val="Balloon Text"/>
    <w:basedOn w:val="Style_3"/>
    <w:link w:val="Style_19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19_ch" w:type="character">
    <w:name w:val="Balloon Text"/>
    <w:basedOn w:val="Style_3_ch"/>
    <w:link w:val="Style_19"/>
    <w:rPr>
      <w:rFonts w:ascii="Tahoma" w:hAnsi="Tahoma"/>
      <w:sz w:val="16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20" w:type="paragraph">
    <w:name w:val="Нижний колонтитул Знак"/>
    <w:basedOn w:val="Style_9"/>
    <w:link w:val="Style_20_ch"/>
  </w:style>
  <w:style w:styleId="Style_20_ch" w:type="character">
    <w:name w:val="Нижний колонтитул Знак"/>
    <w:basedOn w:val="Style_9_ch"/>
    <w:link w:val="Style_20"/>
  </w:style>
  <w:style w:styleId="Style_21" w:type="paragraph">
    <w:name w:val="toc 3"/>
    <w:next w:val="Style_3"/>
    <w:link w:val="Style_2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heading 5"/>
    <w:next w:val="Style_3"/>
    <w:link w:val="Style_2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eading 1"/>
    <w:next w:val="Style_3"/>
    <w:link w:val="Style_2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3"/>
    <w:link w:val="Style_2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8" w:type="paragraph">
    <w:name w:val="caption"/>
    <w:basedOn w:val="Style_3"/>
    <w:link w:val="Style_28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28_ch" w:type="character">
    <w:name w:val="caption"/>
    <w:basedOn w:val="Style_3_ch"/>
    <w:link w:val="Style_28"/>
    <w:rPr>
      <w:rFonts w:ascii="PT Astra Serif" w:hAnsi="PT Astra Serif"/>
      <w:i w:val="1"/>
      <w:sz w:val="24"/>
    </w:rPr>
  </w:style>
  <w:style w:styleId="Style_29" w:type="paragraph">
    <w:name w:val="toc 9"/>
    <w:next w:val="Style_3"/>
    <w:link w:val="Style_2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Колонтитулы"/>
    <w:basedOn w:val="Style_3"/>
    <w:link w:val="Style_30_ch"/>
  </w:style>
  <w:style w:styleId="Style_30_ch" w:type="character">
    <w:name w:val="Колонтитулы"/>
    <w:basedOn w:val="Style_3_ch"/>
    <w:link w:val="Style_30"/>
  </w:style>
  <w:style w:styleId="Style_31" w:type="paragraph">
    <w:name w:val="toc 8"/>
    <w:next w:val="Style_3"/>
    <w:link w:val="Style_3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31_ch" w:type="character">
    <w:name w:val="toc 8"/>
    <w:link w:val="Style_31"/>
    <w:rPr>
      <w:rFonts w:ascii="XO Thames" w:hAnsi="XO Thames"/>
      <w:sz w:val="28"/>
    </w:rPr>
  </w:style>
  <w:style w:styleId="Style_6" w:type="paragraph">
    <w:name w:val="Содержимое врезки"/>
    <w:basedOn w:val="Style_3"/>
    <w:link w:val="Style_6_ch"/>
  </w:style>
  <w:style w:styleId="Style_6_ch" w:type="character">
    <w:name w:val="Содержимое врезки"/>
    <w:basedOn w:val="Style_3_ch"/>
    <w:link w:val="Style_6"/>
  </w:style>
  <w:style w:styleId="Style_32" w:type="paragraph">
    <w:name w:val="toc 5"/>
    <w:next w:val="Style_3"/>
    <w:link w:val="Style_3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Subtitle"/>
    <w:next w:val="Style_3"/>
    <w:link w:val="Style_3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34" w:type="paragraph">
    <w:name w:val="Title"/>
    <w:next w:val="Style_3"/>
    <w:link w:val="Style_3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3"/>
    <w:link w:val="Style_3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heading 2"/>
    <w:next w:val="Style_3"/>
    <w:link w:val="Style_36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6_ch" w:type="character">
    <w:name w:val="heading 2"/>
    <w:link w:val="Style_36"/>
    <w:rPr>
      <w:rFonts w:ascii="XO Thames" w:hAnsi="XO Thames"/>
      <w:b w:val="1"/>
      <w:sz w:val="28"/>
    </w:rPr>
  </w:style>
  <w:style w:styleId="Style_37" w:type="table">
    <w:name w:val="Table Grid"/>
    <w:basedOn w:val="Style_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footer7.xml" Type="http://schemas.openxmlformats.org/officeDocument/2006/relationships/footer"/>
  <Relationship Id="rId6" Target="header6.xml" Type="http://schemas.openxmlformats.org/officeDocument/2006/relationships/header"/>
  <Relationship Id="rId14" Target="webSettings.xml" Type="http://schemas.openxmlformats.org/officeDocument/2006/relationships/webSettings"/>
  <Relationship Id="rId13" Target="stylesWithEffects.xml" Type="http://schemas.microsoft.com/office/2007/relationships/stylesWithEffects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12" Target="styles.xml" Type="http://schemas.openxmlformats.org/officeDocument/2006/relationships/styles"/>
  <Relationship Id="rId10" Target="fontTable.xml" Type="http://schemas.openxmlformats.org/officeDocument/2006/relationships/fontTable"/>
  <Relationship Id="rId5" Target="header5.xml" Type="http://schemas.openxmlformats.org/officeDocument/2006/relationships/header"/>
  <Relationship Id="rId11" Target="settings.xml" Type="http://schemas.openxmlformats.org/officeDocument/2006/relationships/settings"/>
  <Relationship Id="rId8" Target="footer8.xml" Type="http://schemas.openxmlformats.org/officeDocument/2006/relationships/footer"/>
  <Relationship Id="rId16" Target="numbering.xml" Type="http://schemas.openxmlformats.org/officeDocument/2006/relationships/numbering"/>
  <Relationship Id="rId2" Target="footer2.xml" Type="http://schemas.openxmlformats.org/officeDocument/2006/relationships/footer"/>
  <Relationship Id="rId9" Target="media/1.png" Type="http://schemas.openxmlformats.org/officeDocument/2006/relationships/image"/>
  <Relationship Id="rId15" Target="theme/theme1.xml" Type="http://schemas.openxmlformats.org/officeDocument/2006/relationships/them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2026-08-12T04:25:37Z</dcterms:modified>
</cp:coreProperties>
</file>