
<file path=[Content_Types].xml><?xml version="1.0" encoding="utf-8"?>
<Types xmlns="http://schemas.openxmlformats.org/package/2006/content-types">
  <Default ContentType="image/x-emf" Extension="emf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14.xml"/>
  <Override ContentType="application/vnd.openxmlformats-officedocument.wordprocessingml.footer+xml" PartName="/word/footer16.xml"/>
  <Override ContentType="application/vnd.openxmlformats-officedocument.wordprocessingml.footer+xml" PartName="/word/footer18.xml"/>
  <Override ContentType="application/vnd.openxmlformats-officedocument.wordprocessingml.footer+xml" PartName="/word/footer2.xml"/>
  <Override ContentType="application/vnd.openxmlformats-officedocument.wordprocessingml.footer+xml" PartName="/word/footer20.xml"/>
  <Override ContentType="application/vnd.openxmlformats-officedocument.wordprocessingml.footer+xml" PartName="/word/footer22.xml"/>
  <Override ContentType="application/vnd.openxmlformats-officedocument.wordprocessingml.footer+xml" PartName="/word/footer24.xml"/>
  <Override ContentType="application/vnd.openxmlformats-officedocument.wordprocessingml.footer+xml" PartName="/word/footer26.xml"/>
  <Override ContentType="application/vnd.openxmlformats-officedocument.wordprocessingml.footer+xml" PartName="/word/footer28.xml"/>
  <Override ContentType="application/vnd.openxmlformats-officedocument.wordprocessingml.footer+xml" PartName="/word/footer30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13.xml"/>
  <Override ContentType="application/vnd.openxmlformats-officedocument.wordprocessingml.header+xml" PartName="/word/header15.xml"/>
  <Override ContentType="application/vnd.openxmlformats-officedocument.wordprocessingml.header+xml" PartName="/word/header17.xml"/>
  <Override ContentType="application/vnd.openxmlformats-officedocument.wordprocessingml.header+xml" PartName="/word/header19.xml"/>
  <Override ContentType="application/vnd.openxmlformats-officedocument.wordprocessingml.header+xml" PartName="/word/header21.xml"/>
  <Override ContentType="application/vnd.openxmlformats-officedocument.wordprocessingml.header+xml" PartName="/word/header23.xml"/>
  <Override ContentType="application/vnd.openxmlformats-officedocument.wordprocessingml.header+xml" PartName="/word/header25.xml"/>
  <Override ContentType="application/vnd.openxmlformats-officedocument.wordprocessingml.header+xml" PartName="/word/header27.xml"/>
  <Override ContentType="application/vnd.openxmlformats-officedocument.wordprocessingml.header+xml" PartName="/word/header29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2D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2E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2F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30000000">
      <w:pPr>
        <w:rPr>
          <w:spacing w:val="-4"/>
          <w:sz w:val="28"/>
        </w:rPr>
      </w:pPr>
    </w:p>
    <w:p w14:paraId="31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06.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5662</w:t>
      </w:r>
      <w:r>
        <w:rPr>
          <w:spacing w:val="-4"/>
          <w:sz w:val="28"/>
        </w:rPr>
        <w:t>-П</w:t>
      </w:r>
    </w:p>
    <w:p w14:paraId="32000000">
      <w:pPr>
        <w:pStyle w:val="Style_3"/>
        <w:widowControl w:val="0"/>
        <w:spacing w:after="0" w:before="0" w:line="240" w:lineRule="auto"/>
        <w:ind w:firstLine="0" w:left="0" w:right="4252"/>
        <w:contextualSpacing w:val="1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 внесении изменений в постановление</w:t>
      </w:r>
      <w:r>
        <w:br/>
      </w:r>
      <w:r>
        <w:rPr>
          <w:rFonts w:ascii="PT Astra Serif" w:hAnsi="PT Astra Serif"/>
          <w:sz w:val="28"/>
        </w:rPr>
        <w:t>администрации города Магнитогорска</w:t>
      </w:r>
      <w:r>
        <w:br/>
      </w:r>
      <w:r>
        <w:rPr>
          <w:rFonts w:ascii="PT Astra Serif" w:hAnsi="PT Astra Serif"/>
          <w:sz w:val="28"/>
        </w:rPr>
        <w:t>от 08.07.2025 № 5892-П</w:t>
      </w:r>
    </w:p>
    <w:p w14:paraId="33000000">
      <w:pPr>
        <w:pStyle w:val="Style_3"/>
        <w:widowControl w:val="0"/>
        <w:spacing w:after="0" w:before="0" w:line="240" w:lineRule="auto"/>
        <w:ind/>
        <w:contextualSpacing w:val="1"/>
        <w:rPr>
          <w:rFonts w:ascii="PT Astra Serif" w:hAnsi="PT Astra Serif"/>
          <w:sz w:val="28"/>
        </w:rPr>
      </w:pPr>
    </w:p>
    <w:p w14:paraId="34000000">
      <w:pPr>
        <w:pStyle w:val="Style_3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 соответствии с пунктом 1 статьи 160.1 Бюджетного кодекса</w:t>
      </w:r>
      <w:r>
        <w:br/>
      </w:r>
      <w:r>
        <w:rPr>
          <w:rFonts w:ascii="PT Astra Serif" w:hAnsi="PT Astra Serif"/>
          <w:sz w:val="28"/>
        </w:rPr>
        <w:t>Российской Федерации, постановлением Правительства Российской</w:t>
      </w:r>
      <w:r>
        <w:br/>
      </w:r>
      <w:r>
        <w:rPr>
          <w:rFonts w:ascii="PT Astra Serif" w:hAnsi="PT Astra Serif"/>
          <w:sz w:val="28"/>
        </w:rPr>
        <w:t>Федерации от 23 июня 2016 года № 574 «Об общих требованиях к методике</w:t>
      </w:r>
      <w:r>
        <w:br/>
      </w:r>
      <w:r>
        <w:rPr>
          <w:rFonts w:ascii="PT Astra Serif" w:hAnsi="PT Astra Serif"/>
          <w:sz w:val="28"/>
        </w:rPr>
        <w:t>прогнозирования поступлений доходов в бюджеты бюджетной системы</w:t>
      </w:r>
      <w:r>
        <w:br/>
      </w:r>
      <w:r>
        <w:rPr>
          <w:rFonts w:ascii="PT Astra Serif" w:hAnsi="PT Astra Serif"/>
          <w:sz w:val="28"/>
        </w:rPr>
        <w:t xml:space="preserve">Российской Федерации», подпунктом 7 пункта 1 статьи 12 Положения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бюджетном процессе в городе Магнитогорске, утвержденного Решением</w:t>
      </w:r>
      <w:r>
        <w:br/>
      </w:r>
      <w:r>
        <w:rPr>
          <w:rFonts w:ascii="PT Astra Serif" w:hAnsi="PT Astra Serif"/>
          <w:sz w:val="28"/>
        </w:rPr>
        <w:t xml:space="preserve">Магнитогорского городского Собрания депутатов от 30 марта 2021 года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102, руководствуясь Уставом города Магнитогорска, </w:t>
      </w:r>
    </w:p>
    <w:p w14:paraId="35000000">
      <w:pPr>
        <w:pStyle w:val="Style_3"/>
        <w:widowControl w:val="0"/>
        <w:spacing w:after="0" w:before="0" w:line="240" w:lineRule="auto"/>
        <w:ind w:firstLine="851" w:left="0" w:right="0"/>
        <w:contextualSpacing w:val="1"/>
        <w:jc w:val="both"/>
        <w:rPr>
          <w:rFonts w:ascii="PT Astra Serif" w:hAnsi="PT Astra Serif"/>
          <w:sz w:val="28"/>
        </w:rPr>
      </w:pPr>
    </w:p>
    <w:p w14:paraId="36000000">
      <w:pPr>
        <w:pStyle w:val="Style_3"/>
        <w:widowControl w:val="0"/>
        <w:spacing w:after="0" w:before="0" w:line="240" w:lineRule="auto"/>
        <w:ind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ПОСТАНОВЛЯЮ:</w:t>
      </w:r>
    </w:p>
    <w:p w14:paraId="37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Внести в 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08.07.2025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5892-П «Об утверждении Методики прогнозирования</w:t>
      </w:r>
      <w:r>
        <w:br/>
      </w:r>
      <w:r>
        <w:rPr>
          <w:rFonts w:ascii="PT Astra Serif" w:hAnsi="PT Astra Serif"/>
          <w:spacing w:val="-6"/>
          <w:sz w:val="28"/>
        </w:rPr>
        <w:t>поступлений доходов, администрируемых главными администраторами доходов</w:t>
      </w:r>
      <w:r>
        <w:br/>
      </w:r>
      <w:r>
        <w:rPr>
          <w:rFonts w:ascii="PT Astra Serif" w:hAnsi="PT Astra Serif"/>
          <w:sz w:val="28"/>
        </w:rPr>
        <w:t>бюджета города Магнитогорска, в бюджет города» (далее – постановление)</w:t>
      </w:r>
      <w:r>
        <w:br/>
      </w:r>
      <w:r>
        <w:rPr>
          <w:rFonts w:ascii="PT Astra Serif" w:hAnsi="PT Astra Serif"/>
          <w:sz w:val="28"/>
        </w:rPr>
        <w:t>следующие изменения:</w:t>
      </w:r>
    </w:p>
    <w:p w14:paraId="38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пункты 3, 4 приложения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1 к Методике прогнозирования</w:t>
      </w:r>
      <w:r>
        <w:br/>
      </w:r>
      <w:r>
        <w:rPr>
          <w:rFonts w:ascii="PT Astra Serif" w:hAnsi="PT Astra Serif"/>
          <w:sz w:val="28"/>
        </w:rPr>
        <w:t>поступлений доходов, администрируемых главными администраторами</w:t>
      </w:r>
      <w:r>
        <w:br/>
      </w:r>
      <w:r>
        <w:rPr>
          <w:rFonts w:ascii="PT Astra Serif" w:hAnsi="PT Astra Serif"/>
          <w:sz w:val="28"/>
        </w:rPr>
        <w:t>доходов бюджета города Магнитогорска в бюджет города, утвержденной</w:t>
      </w:r>
      <w:r>
        <w:br/>
      </w:r>
      <w:r>
        <w:rPr>
          <w:rFonts w:ascii="PT Astra Serif" w:hAnsi="PT Astra Serif"/>
          <w:sz w:val="28"/>
        </w:rPr>
        <w:t xml:space="preserve">постановлением (далее </w:t>
      </w:r>
      <w:r>
        <w:rPr>
          <w:rFonts w:ascii="PT Astra Serif" w:hAnsi="PT Astra Serif"/>
          <w:color w:val="000000"/>
          <w:spacing w:val="0"/>
          <w:sz w:val="28"/>
        </w:rPr>
        <w:t>–</w:t>
      </w:r>
      <w:r>
        <w:rPr>
          <w:rFonts w:ascii="PT Astra Serif" w:hAnsi="PT Astra Serif"/>
          <w:sz w:val="28"/>
        </w:rPr>
        <w:t xml:space="preserve"> Методика), изложить в следующей редакции:</w:t>
      </w:r>
    </w:p>
    <w:p w14:paraId="39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16"/>
        </w:rPr>
      </w:pPr>
    </w:p>
    <w:tbl>
      <w:tblPr>
        <w:tblStyle w:val="Style_4"/>
        <w:tblW w:type="auto" w:w="0"/>
        <w:jc w:val="left"/>
        <w:tblInd w:type="dxa" w:w="-6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9"/>
        <w:gridCol w:w="517"/>
        <w:gridCol w:w="909"/>
        <w:gridCol w:w="795"/>
        <w:gridCol w:w="1156"/>
        <w:gridCol w:w="1040"/>
        <w:gridCol w:w="985"/>
        <w:gridCol w:w="963"/>
        <w:gridCol w:w="2469"/>
      </w:tblGrid>
      <w:tr>
        <w:trPr>
          <w:trHeight w:hRule="atLeast" w:val="3612"/>
        </w:trPr>
        <w:tc>
          <w:tcPr>
            <w:tcW w:type="dxa" w:w="51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3.</w:t>
            </w:r>
          </w:p>
          <w:p w14:paraId="3B00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51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501</w:t>
            </w:r>
          </w:p>
          <w:p w14:paraId="3D00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90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5"/>
              <w:widowControl w:val="0"/>
              <w:spacing w:after="0" w:before="0" w:line="240" w:lineRule="auto"/>
              <w:ind w:firstLine="0" w:left="-57" w:right="-113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социальной защиты населения администрации города Магнитогорска</w:t>
            </w:r>
          </w:p>
          <w:p w14:paraId="3F00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7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501 1 13 02994 04 0134 130</w:t>
            </w:r>
          </w:p>
        </w:tc>
        <w:tc>
          <w:tcPr>
            <w:tcW w:type="dxa" w:w="11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Прочие доходы от компенсации затрат бюджетов городских округов (прочие доходы от компенсации затрат)</w:t>
            </w:r>
          </w:p>
        </w:tc>
        <w:tc>
          <w:tcPr>
            <w:tcW w:type="dxa" w:w="10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Поступления прочих доходов от компенсации затрат бюджета города - метод усреднения с исключением несистемных поступлений</w:t>
            </w:r>
          </w:p>
        </w:tc>
        <w:tc>
          <w:tcPr>
            <w:tcW w:type="dxa" w:w="9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5"/>
              <w:widowControl w:val="0"/>
              <w:spacing w:after="0" w:before="0" w:line="240" w:lineRule="auto"/>
              <w:ind w:firstLine="0" w:left="-113" w:right="-113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Пкомп = 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Пнес)/3+Дз</w:t>
            </w:r>
          </w:p>
          <w:p w14:paraId="44000000">
            <w:pPr>
              <w:pStyle w:val="Style_5"/>
              <w:widowControl w:val="0"/>
              <w:spacing w:after="0" w:before="0" w:line="240" w:lineRule="auto"/>
              <w:ind w:firstLine="0" w:left="-113" w:right="-113"/>
              <w:rPr>
                <w:rFonts w:ascii="PT Astra Serif" w:hAnsi="PT Astra Serif"/>
                <w:sz w:val="16"/>
              </w:rPr>
            </w:pPr>
          </w:p>
          <w:p w14:paraId="45000000">
            <w:pPr>
              <w:pStyle w:val="Style_5"/>
              <w:widowControl w:val="0"/>
              <w:spacing w:after="0" w:before="0" w:line="240" w:lineRule="auto"/>
              <w:ind w:firstLine="0" w:left="-113" w:right="-113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9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6"/>
              <w:widowControl w:val="0"/>
              <w:spacing w:after="0" w:before="0" w:line="240" w:lineRule="auto"/>
              <w:ind w:firstLine="0" w:left="-113" w:right="-113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Пкомп = 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3" name="Picture 3"/>
                  <a:graphic>
                    <a:graphicData uri="http://schemas.openxmlformats.org/drawingml/2006/picture">
                      <pic:pic>
                        <pic:nvPicPr>
                          <pic:cNvPr hidden="false" id="4" name="Picture 4"/>
                          <pic:cNvPicPr preferRelativeResize="true"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Пнес)/3+Дз</w:t>
            </w:r>
          </w:p>
          <w:p w14:paraId="47000000">
            <w:pPr>
              <w:pStyle w:val="Style_5"/>
              <w:widowControl w:val="0"/>
              <w:spacing w:after="0" w:before="0" w:line="240" w:lineRule="auto"/>
              <w:ind w:firstLine="0" w:left="-113" w:right="-113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24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Пкомп - прогнозируемый объем поступлений в расчетном году;</w:t>
            </w:r>
          </w:p>
          <w:p w14:paraId="4900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4A00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4B00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5" name="Picture 5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4C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spacing w:val="0"/>
                <w:sz w:val="22"/>
              </w:rPr>
            </w:pPr>
          </w:p>
          <w:p w14:paraId="4D000000">
            <w:pPr>
              <w:pStyle w:val="Style_7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hAnsi="PT Astra Serif"/>
                <w:color w:val="000000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rPr>
          <w:trHeight w:hRule="atLeast" w:val="2806"/>
        </w:trPr>
        <w:tc>
          <w:tcPr>
            <w:tcW w:type="dxa" w:w="51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1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0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501 1 13 02994 04 0136 130</w:t>
            </w:r>
          </w:p>
        </w:tc>
        <w:tc>
          <w:tcPr>
            <w:tcW w:type="dxa" w:w="11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Прочие доходы от компенсации затрат бюджетов городских округов (доходы бюджета от возврата дебиторской задолженности прошлых лет)</w:t>
            </w:r>
          </w:p>
        </w:tc>
        <w:tc>
          <w:tcPr>
            <w:tcW w:type="dxa" w:w="10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Поступления доходов от возврата дебиторской задолженности прошлых лет от компенсации затрат местного бюджета - метод целевого ориентира</w:t>
            </w:r>
          </w:p>
        </w:tc>
        <w:tc>
          <w:tcPr>
            <w:tcW w:type="dxa" w:w="9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6"/>
              <w:widowControl w:val="0"/>
              <w:spacing w:after="0" w:before="0" w:line="240" w:lineRule="auto"/>
              <w:ind w:firstLine="0" w:left="-113" w:right="-113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= ЦО</w:t>
            </w:r>
          </w:p>
        </w:tc>
        <w:tc>
          <w:tcPr>
            <w:tcW w:type="dxa" w:w="9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pStyle w:val="Style_6"/>
              <w:widowControl w:val="0"/>
              <w:spacing w:after="0" w:before="0" w:line="240" w:lineRule="auto"/>
              <w:ind w:firstLine="0" w:left="-113" w:right="-113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= ЦО</w:t>
            </w:r>
          </w:p>
        </w:tc>
        <w:tc>
          <w:tcPr>
            <w:tcW w:type="dxa" w:w="24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- прогнозируемый объем доходов бюджета от возврата дебиторской задолженности прошлых лет;</w:t>
            </w:r>
          </w:p>
          <w:p w14:paraId="5400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5500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ЦО - ожидаемый результат работы по взысканию задолженности в бюджет города</w:t>
            </w:r>
          </w:p>
        </w:tc>
      </w:tr>
      <w:tr>
        <w:tc>
          <w:tcPr>
            <w:tcW w:type="dxa" w:w="51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1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0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501 1 13 02994 04 0234 130</w:t>
            </w:r>
          </w:p>
        </w:tc>
        <w:tc>
          <w:tcPr>
            <w:tcW w:type="dxa" w:w="11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Прочие доходы от компенсации затрат бюджетов городских округов (средства от возврата бюджетными и автономными учреждениями субсидий на финансовое обеспечение выполнения муниципального задания)</w:t>
            </w:r>
          </w:p>
        </w:tc>
        <w:tc>
          <w:tcPr>
            <w:tcW w:type="dxa" w:w="10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Поступления средств от возврата бюджетными и автономными учреждениями субсидий на финансовое обеспечение выполнения муниципального задания - метод усреднения с исключением несистемных поступлений</w:t>
            </w:r>
          </w:p>
        </w:tc>
        <w:tc>
          <w:tcPr>
            <w:tcW w:type="dxa" w:w="9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pStyle w:val="Style_6"/>
              <w:widowControl w:val="0"/>
              <w:spacing w:after="0" w:before="0" w:line="240" w:lineRule="auto"/>
              <w:ind w:firstLine="0" w:left="-113" w:right="-113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Пмз = (П1+П2+П3- ∑Пнес)/3+Дз</w:t>
            </w:r>
          </w:p>
          <w:p w14:paraId="5A000000">
            <w:pPr>
              <w:pStyle w:val="Style_6"/>
              <w:widowControl w:val="0"/>
              <w:spacing w:after="0" w:before="0" w:line="240" w:lineRule="auto"/>
              <w:ind w:firstLine="0" w:left="-113" w:right="-113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9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6"/>
              <w:widowControl w:val="0"/>
              <w:spacing w:after="0" w:before="0" w:line="240" w:lineRule="auto"/>
              <w:ind w:firstLine="0" w:left="-113" w:right="-113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Пмз = (П1+П2+П3- ∑Пнес)/3+Дз</w:t>
            </w:r>
          </w:p>
          <w:p w14:paraId="5C000000">
            <w:pPr>
              <w:pStyle w:val="Style_6"/>
              <w:widowControl w:val="0"/>
              <w:spacing w:after="0" w:before="0" w:line="240" w:lineRule="auto"/>
              <w:ind w:firstLine="0" w:left="-113" w:right="-113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24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Пмз - прогнозируемый объем поступлений в расчетном году;</w:t>
            </w:r>
          </w:p>
          <w:p w14:paraId="5E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П1, П2, П3 - фактический объем поступлений за отчетный период;</w:t>
            </w:r>
          </w:p>
          <w:p w14:paraId="5F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∑</w:t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60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  <w:p w14:paraId="61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4</w:t>
            </w:r>
          </w:p>
        </w:tc>
        <w:tc>
          <w:tcPr>
            <w:tcW w:type="dxa" w:w="5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501</w:t>
            </w:r>
          </w:p>
        </w:tc>
        <w:tc>
          <w:tcPr>
            <w:tcW w:type="dxa" w:w="9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3"/>
              <w:widowControl w:val="0"/>
              <w:spacing w:after="0" w:before="0" w:line="240" w:lineRule="auto"/>
              <w:ind w:firstLine="0" w:left="-57" w:right="-113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социальной защиты населения администрации города Магнитогорска</w:t>
            </w:r>
          </w:p>
        </w:tc>
        <w:tc>
          <w:tcPr>
            <w:tcW w:type="dxa" w:w="7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501 1 14 02042 04 0000 440</w:t>
            </w:r>
          </w:p>
        </w:tc>
        <w:tc>
          <w:tcPr>
            <w:tcW w:type="dxa" w:w="11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type="dxa" w:w="10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9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Пимущ =</w:t>
            </w:r>
          </w:p>
          <w:p w14:paraId="69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>- ∑Пнес) /3</w:t>
            </w:r>
          </w:p>
          <w:p w14:paraId="6A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+Дз</w:t>
            </w:r>
          </w:p>
        </w:tc>
        <w:tc>
          <w:tcPr>
            <w:tcW w:type="dxa" w:w="9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Пимущ =</w:t>
            </w:r>
          </w:p>
          <w:p w14:paraId="6C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>- ∑Пнес) /3</w:t>
            </w:r>
          </w:p>
          <w:p w14:paraId="6D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+Дз</w:t>
            </w:r>
          </w:p>
        </w:tc>
        <w:tc>
          <w:tcPr>
            <w:tcW w:type="dxa" w:w="24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Пимущ - прогнозируемый объем поступлений на планируемый период;</w:t>
            </w:r>
          </w:p>
          <w:p w14:paraId="6F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П 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фактическое поступление за отчетный период;</w:t>
            </w:r>
          </w:p>
          <w:p w14:paraId="70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∑</w:t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71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</w:tc>
      </w:tr>
    </w:tbl>
    <w:p w14:paraId="72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6"/>
        </w:rPr>
      </w:pPr>
    </w:p>
    <w:p w14:paraId="73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приложение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2 к Методике изложить в новой редакции</w:t>
      </w:r>
      <w:r>
        <w:br/>
      </w:r>
      <w:r>
        <w:rPr>
          <w:rFonts w:ascii="PT Astra Serif" w:hAnsi="PT Astra Serif"/>
          <w:sz w:val="28"/>
        </w:rPr>
        <w:t>(приложение № 1);</w:t>
      </w:r>
    </w:p>
    <w:p w14:paraId="74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приложение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4 к Методике изложить в новой редакции</w:t>
      </w:r>
      <w:r>
        <w:br/>
      </w:r>
      <w:r>
        <w:rPr>
          <w:rFonts w:ascii="PT Astra Serif" w:hAnsi="PT Astra Serif"/>
          <w:sz w:val="28"/>
        </w:rPr>
        <w:t>(приложение № 2);</w:t>
      </w:r>
    </w:p>
    <w:p w14:paraId="75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приложение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5 к Методике изложить в новой редакции</w:t>
      </w:r>
      <w:r>
        <w:br/>
      </w:r>
      <w:r>
        <w:rPr>
          <w:rFonts w:ascii="PT Astra Serif" w:hAnsi="PT Astra Serif"/>
          <w:sz w:val="28"/>
        </w:rPr>
        <w:t>(приложение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3);</w:t>
      </w:r>
    </w:p>
    <w:p w14:paraId="76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пункт 1 приложения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6 к Методике изложить в следующей</w:t>
      </w:r>
      <w:r>
        <w:br/>
      </w:r>
      <w:r>
        <w:rPr>
          <w:rFonts w:ascii="PT Astra Serif" w:hAnsi="PT Astra Serif"/>
          <w:sz w:val="28"/>
        </w:rPr>
        <w:t>редакции:</w:t>
      </w:r>
    </w:p>
    <w:p w14:paraId="77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16"/>
        </w:rPr>
      </w:pPr>
    </w:p>
    <w:tbl>
      <w:tblPr>
        <w:tblStyle w:val="Style_4"/>
        <w:tblW w:type="auto" w:w="0"/>
        <w:jc w:val="left"/>
        <w:tblInd w:type="dxa" w:w="-6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9"/>
        <w:gridCol w:w="517"/>
        <w:gridCol w:w="909"/>
        <w:gridCol w:w="795"/>
        <w:gridCol w:w="1156"/>
        <w:gridCol w:w="1040"/>
        <w:gridCol w:w="1008"/>
        <w:gridCol w:w="940"/>
        <w:gridCol w:w="2469"/>
      </w:tblGrid>
      <w:tr>
        <w:trPr>
          <w:trHeight w:hRule="atLeast" w:val="2515"/>
        </w:trPr>
        <w:tc>
          <w:tcPr>
            <w:tcW w:type="dxa" w:w="51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1.</w:t>
            </w:r>
          </w:p>
        </w:tc>
        <w:tc>
          <w:tcPr>
            <w:tcW w:type="dxa" w:w="51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513</w:t>
            </w:r>
          </w:p>
          <w:p w14:paraId="7A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B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C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D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E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F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0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1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2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3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4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5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6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7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8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9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A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B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C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D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E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F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0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1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2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3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4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5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6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7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8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9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A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B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C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D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E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F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0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1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2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3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4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5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6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7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8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9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A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B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C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D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90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по физической культуре и спорту администрации города Магнитогорска</w:t>
            </w:r>
          </w:p>
        </w:tc>
        <w:tc>
          <w:tcPr>
            <w:tcW w:type="dxa" w:w="7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spacing w:val="0"/>
                <w:sz w:val="22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513 1 13 02994 04 0134 130</w:t>
            </w:r>
          </w:p>
        </w:tc>
        <w:tc>
          <w:tcPr>
            <w:tcW w:type="dxa" w:w="11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Прочие доходы от компенсации затрат бюджетов городских округов (прочие доходы от компенсации затрат)</w:t>
            </w:r>
          </w:p>
        </w:tc>
        <w:tc>
          <w:tcPr>
            <w:tcW w:type="dxa" w:w="10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Поступления прочих доходов от   компенсации затрат  бюджета города -  метод усреднения с исключением несистемных поступлений</w:t>
            </w:r>
          </w:p>
        </w:tc>
        <w:tc>
          <w:tcPr>
            <w:tcW w:type="dxa" w:w="10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 Пкомп = (П1+П2+П3- ∑Пнес)/3+Дз</w:t>
            </w:r>
          </w:p>
          <w:p w14:paraId="B3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4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5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6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7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8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9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A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B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C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D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9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Пкомп = (П1+П2+П3- ∑Пнес)/3</w:t>
            </w:r>
          </w:p>
          <w:p w14:paraId="BF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0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1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2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3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4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5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6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7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8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9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A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24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Пкомп - прогнозируемый объем поступлений в расчетном году;</w:t>
            </w:r>
          </w:p>
          <w:p w14:paraId="CC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D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П1, П2, П3 - фактический объем поступлений за отчетный период;</w:t>
            </w:r>
          </w:p>
          <w:p w14:paraId="CE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F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∑</w:t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D0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D1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 – 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1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0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spacing w:val="0"/>
                <w:sz w:val="22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513 1 13 02994 04 0136 130</w:t>
            </w:r>
          </w:p>
        </w:tc>
        <w:tc>
          <w:tcPr>
            <w:tcW w:type="dxa" w:w="11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Прочие доходы от компенсации затрат бюджетов городских округов (доходы бюджета от возврата дебиторской задолженности прошлых лет)</w:t>
            </w:r>
          </w:p>
          <w:p w14:paraId="D4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10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2)Поступления доходов от возврата дебиторской задолженности прошлых лет от компенсации затрат местного бюджета -  метод целевого ориентира</w:t>
            </w:r>
          </w:p>
        </w:tc>
        <w:tc>
          <w:tcPr>
            <w:tcW w:type="dxa" w:w="10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= ЦО</w:t>
            </w:r>
          </w:p>
        </w:tc>
        <w:tc>
          <w:tcPr>
            <w:tcW w:type="dxa" w:w="9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= ЦО</w:t>
            </w:r>
          </w:p>
        </w:tc>
        <w:tc>
          <w:tcPr>
            <w:tcW w:type="dxa" w:w="24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- прогнозируемый объем доходов бюджета от возврата дебиторской задолженности прошлых лет;</w:t>
            </w:r>
          </w:p>
          <w:p w14:paraId="D9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ЦО – ожидаемый результат работы по взысканию задолженности в бюджет города</w:t>
            </w:r>
          </w:p>
          <w:p w14:paraId="DA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</w:tr>
      <w:tr>
        <w:tc>
          <w:tcPr>
            <w:tcW w:type="dxa" w:w="51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1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0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spacing w:val="0"/>
                <w:sz w:val="22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513 1 13 02994 04 0234 130</w:t>
            </w:r>
          </w:p>
        </w:tc>
        <w:tc>
          <w:tcPr>
            <w:tcW w:type="dxa" w:w="11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Прочие доходы от компенсации затрат бюджетов городских округов (средства от возврата бюджетными и автономными учреждениями субсидий на финансовое обеспечение выполнения муниципального задания)</w:t>
            </w:r>
          </w:p>
        </w:tc>
        <w:tc>
          <w:tcPr>
            <w:tcW w:type="dxa" w:w="10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Поступления прочих доходов от   компенсации затрат  бюджета города -  метод усреднения с исключением несистемных поступлений</w:t>
            </w:r>
          </w:p>
        </w:tc>
        <w:tc>
          <w:tcPr>
            <w:tcW w:type="dxa" w:w="10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Пмз = (П1+П2+П3- ∑Пнес)/3+Дз</w:t>
            </w:r>
          </w:p>
          <w:p w14:paraId="DF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9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Пмз = (П1+П2+П3- ∑Пнес)/3+Дз</w:t>
            </w:r>
          </w:p>
          <w:p w14:paraId="E1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24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Пмз - прогнозируемый объем поступлений в расчетном году;</w:t>
            </w:r>
          </w:p>
          <w:p w14:paraId="E3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E4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П1, П2, П3 - фактический объем поступлений за отчетный период;</w:t>
            </w:r>
          </w:p>
          <w:p w14:paraId="E5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E6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∑</w:t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E7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E8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</w:tc>
      </w:tr>
    </w:tbl>
    <w:p w14:paraId="E9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6"/>
        </w:rPr>
      </w:pPr>
    </w:p>
    <w:p w14:paraId="EA000000">
      <w:pPr>
        <w:pStyle w:val="Style_3"/>
        <w:widowControl w:val="0"/>
        <w:tabs>
          <w:tab w:leader="none" w:pos="708" w:val="clear"/>
          <w:tab w:leader="none" w:pos="5954" w:val="left"/>
        </w:tabs>
        <w:spacing w:after="0" w:before="0" w:line="240" w:lineRule="auto"/>
        <w:ind w:firstLine="851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подпункт 2 пункта 10 приложения № 7 к Методике изложить</w:t>
      </w:r>
      <w:r>
        <w:br/>
      </w:r>
      <w:r>
        <w:rPr>
          <w:rFonts w:ascii="PT Astra Serif" w:hAnsi="PT Astra Serif"/>
          <w:sz w:val="28"/>
        </w:rPr>
        <w:t>в следующей редакции:</w:t>
      </w:r>
    </w:p>
    <w:p w14:paraId="EB000000">
      <w:pPr>
        <w:pStyle w:val="Style_3"/>
        <w:widowControl w:val="0"/>
        <w:tabs>
          <w:tab w:leader="none" w:pos="708" w:val="clear"/>
          <w:tab w:leader="none" w:pos="5954" w:val="left"/>
        </w:tabs>
        <w:spacing w:after="0" w:before="0" w:line="240" w:lineRule="auto"/>
        <w:ind w:firstLine="851" w:left="0" w:right="0"/>
        <w:jc w:val="both"/>
        <w:rPr>
          <w:rFonts w:ascii="PT Astra Serif" w:hAnsi="PT Astra Serif"/>
          <w:sz w:val="16"/>
        </w:rPr>
      </w:pPr>
    </w:p>
    <w:tbl>
      <w:tblPr>
        <w:tblStyle w:val="Style_4"/>
        <w:tblW w:type="auto" w:w="0"/>
        <w:jc w:val="left"/>
        <w:tblInd w:type="dxa" w:w="-6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9"/>
        <w:gridCol w:w="393"/>
        <w:gridCol w:w="1092"/>
        <w:gridCol w:w="779"/>
        <w:gridCol w:w="1245"/>
        <w:gridCol w:w="1204"/>
        <w:gridCol w:w="937"/>
        <w:gridCol w:w="1026"/>
        <w:gridCol w:w="2158"/>
      </w:tblGrid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10.</w:t>
            </w:r>
          </w:p>
        </w:tc>
        <w:tc>
          <w:tcPr>
            <w:tcW w:type="dxa" w:w="3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519</w:t>
            </w:r>
          </w:p>
        </w:tc>
        <w:tc>
          <w:tcPr>
            <w:tcW w:type="dxa" w:w="10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Комитет по управлению имуществом и земельными отношениями администрации города Магнитогорска</w:t>
            </w:r>
          </w:p>
        </w:tc>
        <w:tc>
          <w:tcPr>
            <w:tcW w:type="dxa" w:w="7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519 1 11 09044 04 0129 120</w:t>
            </w:r>
          </w:p>
        </w:tc>
        <w:tc>
          <w:tcPr>
            <w:tcW w:type="dxa" w:w="12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наем жилых помещений)</w:t>
            </w:r>
          </w:p>
        </w:tc>
        <w:tc>
          <w:tcPr>
            <w:tcW w:type="dxa" w:w="12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поступления платы за наём жилых помещений, находящихся в муниципальной собственности</w:t>
            </w:r>
          </w:p>
          <w:p w14:paraId="F2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3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4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5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6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7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8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9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A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B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C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D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E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F00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1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2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3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4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5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6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7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8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9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2.1) поступления платы за наём жилых помещений по договорам социального найма, находящихся в муниципальной собственности - метод прямого расчета</w:t>
            </w:r>
          </w:p>
          <w:p w14:paraId="0A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B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C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D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E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F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1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2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3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4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5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6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7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8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9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A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B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C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D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E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F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1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2.2) поступления платы за наём жилых помещений по договорам коммерческого найма, находящихся в муниципальной собственности - метод прямого расчета</w:t>
            </w:r>
          </w:p>
        </w:tc>
        <w:tc>
          <w:tcPr>
            <w:tcW w:type="dxa" w:w="9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Дпл.за наём = Дпл. за наём дсн +Дпл. за наём дкн</w:t>
            </w:r>
          </w:p>
          <w:p w14:paraId="23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4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5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6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7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8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9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A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B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C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D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E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F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1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2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3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4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5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6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7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8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9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A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B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C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D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2.1) Дпл.за наём дсн = S дсн*Пб дсн*Ксб дсн*T+1/20 Дзад дсн</w:t>
            </w:r>
          </w:p>
          <w:p w14:paraId="3E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F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1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2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3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4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5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6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7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8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9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A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B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C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D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E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F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1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2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3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4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5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6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7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8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9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A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B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C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D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E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2.2) Дпл.за наём дкн = S дкн*Пб дкн*Ксб дкн*T+1/20 Дзад дкн</w:t>
            </w:r>
          </w:p>
          <w:p w14:paraId="5F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10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Дпл.за наём = Дпл. за наём дсн +Дпл. за наём дкн</w:t>
            </w:r>
          </w:p>
          <w:p w14:paraId="61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2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3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4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5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6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7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8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9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A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B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C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D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E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F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1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2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3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4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5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6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7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8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9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A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2.1) Дпл.за наём дсн = S дсн*Пб дсн*Ксб дсн*T+1/20 Дзад дсн</w:t>
            </w:r>
          </w:p>
          <w:p w14:paraId="7B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C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D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E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F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1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2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3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4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5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6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7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8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9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A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B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C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D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E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F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1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2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3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4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5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6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7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8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9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A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B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2.2) Дпл.за наём дкн = S дкн*Пб дкн*Ксб дкн*T+  1/20 Дзад дкн</w:t>
            </w:r>
          </w:p>
        </w:tc>
        <w:tc>
          <w:tcPr>
            <w:tcW w:type="dxa" w:w="215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Дпл.за наём - прогнозируемый объем поступлений за наём жилых помещений в расчетном году;</w:t>
            </w:r>
          </w:p>
          <w:p w14:paraId="9D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E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F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1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2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3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4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5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6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7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8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9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A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B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C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D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E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F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1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2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3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4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5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6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7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8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2.1) Дпл.за наём дсн -прогнозируемый объем поступлений по договорам социального найма жилых помещений в расчетном году;</w:t>
            </w:r>
          </w:p>
          <w:p w14:paraId="B9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A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B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S дсн - площадь муниципального жилищного фонда, сдаваемая по договорам социального найма в текущем году, тыс. м2;</w:t>
            </w:r>
          </w:p>
          <w:p w14:paraId="BC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D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 </w:t>
            </w:r>
            <w:r>
              <w:rPr>
                <w:rFonts w:ascii="PT Astra Serif" w:hAnsi="PT Astra Serif"/>
                <w:spacing w:val="0"/>
                <w:sz w:val="16"/>
              </w:rPr>
              <w:t>Пб дсн- базовая ставка за пользование жилыми помещениями по договорам социального найма;</w:t>
            </w:r>
          </w:p>
          <w:p w14:paraId="BE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F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Ксб дсн- коэффициент сбора за отчетный год, который определяется как отношение фактически собранных средств к сумме начисленных средств за наём жилых помещений по договорам социального найма, находящихся в муниципальной собственности;</w:t>
            </w:r>
          </w:p>
          <w:p w14:paraId="C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1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Т - количество месяцев в прогнозируемом периоде;</w:t>
            </w:r>
          </w:p>
          <w:p w14:paraId="C2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3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дсн- сумма дебиторской задолженности за наём по договорам социального найма жилых помещений на последнюю отчетную дату прошедшего периода текущего года</w:t>
            </w:r>
          </w:p>
          <w:p w14:paraId="C4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5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6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2.2) Дпл.за наём дкн - прогнозируемый объем поступлений за наём жилых помещений по договору коммерческого найма в расчетном году;</w:t>
            </w:r>
          </w:p>
          <w:p w14:paraId="C7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8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S дкн- площадь муниципального жилищного фонда, сдаваемая по договорам коммерческого найма в текущем году, тыс. м2;</w:t>
            </w:r>
          </w:p>
          <w:p w14:paraId="C9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A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Пб дкн - базовая ставка за пользование жилыми помещениями по договорам коммерческого найма;</w:t>
            </w:r>
          </w:p>
          <w:p w14:paraId="CB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C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Ксб дкн- коэффициент сбора за отчетный год, который определяется как отношение фактически собранных средств к сумме начисленных средств за наём по договорам коммерческого найма жилых помещений, находящихся в муниципальной собственности;</w:t>
            </w:r>
          </w:p>
          <w:p w14:paraId="CD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E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Т - количество месяцев в прогнозируемом периоде;</w:t>
            </w:r>
          </w:p>
          <w:p w14:paraId="CF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D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дкн- сумма дебиторской задолженности за наём по договорам коммерческого найма на последнюю отчетную дату прошедшего периода текущего года</w:t>
            </w:r>
          </w:p>
        </w:tc>
      </w:tr>
    </w:tbl>
    <w:p w14:paraId="D101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16"/>
        </w:rPr>
      </w:pPr>
    </w:p>
    <w:p w14:paraId="D2010000">
      <w:pPr>
        <w:pStyle w:val="Style_3"/>
        <w:widowControl w:val="1"/>
        <w:tabs>
          <w:tab w:leader="none" w:pos="708" w:val="clear"/>
          <w:tab w:leader="none" w:pos="595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пункты 26 и 32 приложения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7 к Методике признать утратившими</w:t>
      </w:r>
      <w:r>
        <w:br/>
      </w:r>
      <w:r>
        <w:rPr>
          <w:rFonts w:ascii="PT Astra Serif" w:hAnsi="PT Astra Serif"/>
          <w:sz w:val="28"/>
        </w:rPr>
        <w:t>силу;</w:t>
      </w:r>
    </w:p>
    <w:p w14:paraId="D301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приложение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8 к Методике изложить в новой редакции</w:t>
      </w:r>
      <w:r>
        <w:br/>
      </w:r>
      <w:r>
        <w:rPr>
          <w:rFonts w:ascii="PT Astra Serif" w:hAnsi="PT Astra Serif"/>
          <w:sz w:val="28"/>
        </w:rPr>
        <w:t>(приложение № 4).</w:t>
      </w:r>
    </w:p>
    <w:p w14:paraId="D401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Настоящее постановление вступает в силу после его официального</w:t>
      </w:r>
      <w:r>
        <w:br/>
      </w:r>
      <w:r>
        <w:rPr>
          <w:rFonts w:ascii="PT Astra Serif" w:hAnsi="PT Astra Serif"/>
          <w:sz w:val="28"/>
        </w:rPr>
        <w:t>опубликования.</w:t>
      </w:r>
    </w:p>
    <w:p w14:paraId="D501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Службе внешних связей и молодежной политики администрации</w:t>
      </w:r>
      <w:r>
        <w:br/>
      </w:r>
      <w:r>
        <w:rPr>
          <w:rFonts w:ascii="PT Astra Serif" w:hAnsi="PT Astra Serif"/>
          <w:sz w:val="28"/>
        </w:rPr>
        <w:t>города Магнитогорска (Числова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Г.Д.) опубликовать настоящее</w:t>
      </w:r>
      <w:r>
        <w:br/>
      </w:r>
      <w:r>
        <w:rPr>
          <w:rFonts w:ascii="PT Astra Serif" w:hAnsi="PT Astra Serif"/>
          <w:sz w:val="28"/>
        </w:rPr>
        <w:t>постановление в средствах массовой информации и разместить</w:t>
      </w:r>
      <w:r>
        <w:br/>
      </w:r>
      <w:r>
        <w:rPr>
          <w:rFonts w:ascii="PT Astra Serif" w:hAnsi="PT Astra Serif"/>
          <w:sz w:val="28"/>
        </w:rPr>
        <w:t>на официальном сайте администрации города Магнитогорска.</w:t>
      </w:r>
    </w:p>
    <w:p w14:paraId="D601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заместителя Главы города Магнитогорска Макарову А.Н.</w:t>
      </w:r>
    </w:p>
    <w:p w14:paraId="D7010000">
      <w:pPr>
        <w:pStyle w:val="Style_3"/>
        <w:widowControl w:val="0"/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</w:p>
    <w:p w14:paraId="D8010000">
      <w:pPr>
        <w:pStyle w:val="Style_3"/>
        <w:widowControl w:val="0"/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</w:p>
    <w:p w14:paraId="D9010000">
      <w:pPr>
        <w:pStyle w:val="Style_3"/>
        <w:widowControl w:val="0"/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</w:p>
    <w:p w14:paraId="DA01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DB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DC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DD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DE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DF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0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1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2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3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4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5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6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7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8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9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A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B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C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D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E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EF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F0010000">
      <w:pPr>
        <w:sectPr>
          <w:headerReference r:id="rId5" w:type="default"/>
          <w:headerReference r:id="rId13" w:type="first"/>
          <w:headerReference r:id="rId15" w:type="even"/>
          <w:footerReference r:id="rId6" w:type="default"/>
          <w:footerReference r:id="rId14" w:type="first"/>
          <w:footerReference r:id="rId16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F101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1</w:t>
      </w:r>
    </w:p>
    <w:p w14:paraId="F201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F301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города Магнитогорска </w:t>
      </w:r>
    </w:p>
    <w:p w14:paraId="F401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06.08.2026 № 5662-П</w:t>
      </w:r>
    </w:p>
    <w:p w14:paraId="F501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</w:p>
    <w:p w14:paraId="F601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2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к Методике прогнозирования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поступлений доходов,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администрируемых главными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администраторами доходов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бюджета города Магнитогорска,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в бюджет города</w:t>
      </w:r>
    </w:p>
    <w:p w14:paraId="F701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</w:rPr>
      </w:pPr>
    </w:p>
    <w:p w14:paraId="F8010000">
      <w:pPr>
        <w:pStyle w:val="Style_8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color w:val="000000"/>
          <w:sz w:val="24"/>
          <w:highlight w:val="yellow"/>
        </w:rPr>
      </w:pPr>
      <w:r>
        <w:rPr>
          <w:rFonts w:ascii="PT Astra Serif" w:hAnsi="PT Astra Serif"/>
          <w:b w:val="0"/>
          <w:color w:val="000000"/>
          <w:sz w:val="24"/>
        </w:rPr>
        <w:t>Методика</w:t>
      </w:r>
      <w:r>
        <w:rPr>
          <w:rFonts w:ascii="PT Astra Serif" w:hAnsi="PT Astra Serif"/>
          <w:b w:val="0"/>
          <w:color w:val="000000"/>
          <w:sz w:val="24"/>
        </w:rPr>
        <w:br/>
      </w:r>
      <w:r>
        <w:rPr>
          <w:rFonts w:ascii="PT Astra Serif" w:hAnsi="PT Astra Serif"/>
          <w:b w:val="0"/>
          <w:color w:val="000000"/>
          <w:sz w:val="24"/>
        </w:rPr>
        <w:t>прогнозирования поступлений доходов, администрируемых главными администраторами доходов бюджета города Магнитогорска, в бюджет города - Администрацией города Магнитогорска</w:t>
      </w:r>
    </w:p>
    <w:p w14:paraId="F9010000">
      <w:pPr>
        <w:pStyle w:val="Style_3"/>
        <w:widowControl w:val="0"/>
        <w:spacing w:after="0"/>
        <w:ind/>
        <w:rPr>
          <w:sz w:val="16"/>
        </w:rPr>
      </w:pPr>
    </w:p>
    <w:tbl>
      <w:tblPr>
        <w:tblStyle w:val="Style_4"/>
        <w:tblW w:type="auto" w:w="0"/>
        <w:jc w:val="left"/>
        <w:tblInd w:type="dxa" w:w="-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9"/>
        <w:gridCol w:w="516"/>
        <w:gridCol w:w="912"/>
        <w:gridCol w:w="793"/>
        <w:gridCol w:w="1157"/>
        <w:gridCol w:w="1039"/>
        <w:gridCol w:w="1126"/>
        <w:gridCol w:w="823"/>
        <w:gridCol w:w="2468"/>
      </w:tblGrid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N</w:t>
            </w:r>
          </w:p>
          <w:p w14:paraId="FB01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п/п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Код главного администратора доходов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Наименование главного администратора доходов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begin"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instrText>HYPERLINK "https://internet.garant.ru/document/redirect/409380526/0"</w:instrTex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separate"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t>КБК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end"/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Наименование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begin"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instrText>HYPERLINK "https://internet.garant.ru/document/redirect/409380526/0"</w:instrTex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separate"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t>КБК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end"/>
            </w:r>
            <w:r>
              <w:rPr>
                <w:rFonts w:ascii="PT Astra Serif" w:hAnsi="PT Astra Serif"/>
                <w:spacing w:val="0"/>
                <w:sz w:val="16"/>
              </w:rPr>
              <w:t xml:space="preserve"> доходов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Наименование метода расчета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Формула расчета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Алгоритм расчета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Описание показателей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505 1 11 05034 04 0000 120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прямого расчета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ПДопер = Начисл + 1/5 Дзад +/- Д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ПДопер = Начисл + 1/5 Дзад +/- Д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ПДопер - прогнозируемый объем поступлений доходов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учреждений), в расчетном году;</w:t>
            </w:r>
          </w:p>
          <w:p w14:paraId="0D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0E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 по договорам аренды имущества, прогнозируемая к поступлению в расчетном году. Принимается сумма начислений по действующим договорам аренды на момент составления прогноза поступления доходов;</w:t>
            </w:r>
          </w:p>
          <w:p w14:paraId="0F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10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суммы задолженности контрагента на последнюю отчетную дату прошедшего периода текущего года;</w:t>
            </w:r>
          </w:p>
          <w:p w14:paraId="1102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spacing w:val="0"/>
                <w:sz w:val="22"/>
              </w:rPr>
            </w:pPr>
          </w:p>
          <w:p w14:paraId="12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доходов, связанных с заключением (расторжением) договоров, возвратом денежных средств по решению судов, изменением нормативно-правовой базы, регулирующей начисления, в расчетном году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505 1 13 01074 04 0000 130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прямого расчета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Динф = Ц*Ш*Ксоб 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Динф = Ц*Ш*Ксоб 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Динф - прогнозируемый объем поступлений доходов от оказания информационных услуг в расчетном году;</w:t>
            </w:r>
          </w:p>
          <w:p w14:paraId="1C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D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 - стоимость услуги в расчетном году;</w:t>
            </w:r>
          </w:p>
          <w:p w14:paraId="1E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F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Ш - предполагаемое количество оказываемых услуг в расчетном году;</w:t>
            </w:r>
          </w:p>
          <w:p w14:paraId="20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1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Ксоб - коэффициент, учитывающего собираемость дохода за отчетный период (целевой уровень собираемости);</w:t>
            </w:r>
          </w:p>
          <w:p w14:paraId="2202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spacing w:val="0"/>
                <w:sz w:val="22"/>
              </w:rPr>
            </w:pPr>
          </w:p>
          <w:p w14:paraId="23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505 1 13 01994 04 0000 130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прямого расчета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Дпл = Ц*Ш*Ксоб 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Дпл = Ц*Ш* Ксоб+Дз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Дпл - прогнозируемый объем поступлений прочих доходов от оказания платных услуг (работ) получателями средств бюджетов городских округов в расчетном году;</w:t>
            </w:r>
          </w:p>
          <w:p w14:paraId="2D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2E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 - стоимость услуги (работы) в расчетном году;</w:t>
            </w:r>
          </w:p>
          <w:p w14:paraId="2F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30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Ш - предполагаемое количество оказываемых услуг (работ) в расчетном году;</w:t>
            </w:r>
          </w:p>
          <w:p w14:paraId="31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32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Ксоб - коэффициент, учитывающего собираемость дохода за отчетный период, который определяется как отношение фактических поступлений к начисленным суммам;</w:t>
            </w:r>
          </w:p>
          <w:p w14:paraId="33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34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4.</w:t>
            </w:r>
          </w:p>
        </w:tc>
        <w:tc>
          <w:tcPr>
            <w:tcW w:type="dxa" w:w="5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505 1 13 02064 04 0000 130</w:t>
            </w:r>
          </w:p>
        </w:tc>
        <w:tc>
          <w:tcPr>
            <w:tcW w:type="dxa" w:w="115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поступления по договорам на возмещение расходов по оплате коммунальных услуг и прочих расходов - метод прямого расчета;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Дкомп = (Начисл +/- Д)*К + Дзад</w:t>
            </w:r>
          </w:p>
          <w:p w14:paraId="3C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Дкомп = (Начисл +/- Д)*К + Дзад</w:t>
            </w:r>
          </w:p>
          <w:p w14:paraId="3E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Дкомп - прогнозируемый объем поступлений на возмещение расходов по оплате коммунальных услуг в расчетном году;</w:t>
            </w:r>
          </w:p>
          <w:p w14:paraId="40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41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начислений, ожидаемая к поступлению в расчетном году;</w:t>
            </w:r>
          </w:p>
          <w:p w14:paraId="42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43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доходов, связанных с заключением новых договоров в расчетном периоде или истечения срока действия ранее заключенных договоров;</w:t>
            </w:r>
          </w:p>
          <w:p w14:paraId="44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45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 - коэффициент, учитывающий изменение цен на жилищно-коммунальные услуги, согласованный с управлением экономики и инвестиций;</w:t>
            </w:r>
          </w:p>
          <w:p w14:paraId="46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47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сумма дебиторской задолженности на последнюю отчетную дату прошедшего периода текущего года</w:t>
            </w:r>
          </w:p>
        </w:tc>
      </w:tr>
      <w:tr>
        <w:tc>
          <w:tcPr>
            <w:tcW w:type="dxa" w:w="51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9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5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поступления по прочим договорам на возмещение расходов по оплате услуг по содержанию и ремонту общего имущества, взносов на капитальный ремонт, пультовой охраны, технического обслуживания технических средств охранной сигнализации и других расходов по эксплуатации имущества - метод прямого расчета.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Дкомп пр = Начисл +/- Д + Дзад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Дкомп пр = Начисл +/- Д + Дзад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Дкомп пр - прогнозируемый объем поступлений на возмещение расходов по прочим договорам в расчетном году;</w:t>
            </w:r>
          </w:p>
          <w:p w14:paraId="4C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4D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начислений, ожидаемая к поступлению в расчетном году;</w:t>
            </w:r>
          </w:p>
          <w:p w14:paraId="4E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4F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доходов, связанных с заключением новых договоров в расчетном периоде или истечения срока действия ранее заключенных договоров;</w:t>
            </w:r>
          </w:p>
          <w:p w14:paraId="50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51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сумма дебиторской задолженности на последнюю отчетную дату прошедшего периода текущего года</w:t>
            </w:r>
          </w:p>
        </w:tc>
      </w:tr>
      <w:tr>
        <w:tc>
          <w:tcPr>
            <w:tcW w:type="dxa" w:w="51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5.</w:t>
            </w:r>
          </w:p>
        </w:tc>
        <w:tc>
          <w:tcPr>
            <w:tcW w:type="dxa" w:w="5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505 1 13 02994 04 0134 130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Прочие доходы от компенсации затрат бюджетов городских округов (прочие доходы от компенсации затрат)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Поступления прочих доходов от компенсации затрат бюджета города - метод усреднения с исключением несистемных поступлений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Пкомп = 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13029" cy="169545"/>
                  <wp:effectExtent b="0" l="0" r="0" t="0"/>
                  <wp:docPr hidden="false" id="7" name="Picture 7"/>
                  <a:graphic>
                    <a:graphicData uri="http://schemas.openxmlformats.org/drawingml/2006/picture">
                      <pic:pic>
                        <pic:nvPicPr>
                          <pic:cNvPr hidden="false" id="8" name="Picture 8"/>
                          <pic:cNvPicPr preferRelativeResize="true"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Пнес)/3+Дз</w:t>
            </w:r>
          </w:p>
          <w:p w14:paraId="59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Пкомп = 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13029" cy="169545"/>
                  <wp:effectExtent b="0" l="0" r="0" t="0"/>
                  <wp:docPr hidden="false" id="9" name="Picture 9"/>
                  <a:graphic>
                    <a:graphicData uri="http://schemas.openxmlformats.org/drawingml/2006/picture">
                      <pic:pic>
                        <pic:nvPicPr>
                          <pic:cNvPr hidden="false" id="10" name="Picture 10"/>
                          <pic:cNvPicPr preferRelativeResize="true"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Пнес)/3+Дз</w:t>
            </w:r>
          </w:p>
          <w:p w14:paraId="5B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Пкомп - прогнозируемый объем поступлений в расчетном году;</w:t>
            </w:r>
          </w:p>
          <w:p w14:paraId="5D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5E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5F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60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13029" cy="169545"/>
                  <wp:effectExtent b="0" l="0" r="0" t="0"/>
                  <wp:docPr hidden="false" id="11" name="Picture 11"/>
                  <a:graphic>
                    <a:graphicData uri="http://schemas.openxmlformats.org/drawingml/2006/picture">
                      <pic:pic>
                        <pic:nvPicPr>
                          <pic:cNvPr hidden="false" id="12" name="Picture 12"/>
                          <pic:cNvPicPr preferRelativeResize="true"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61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62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505 1 13 02994 04 0136 130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Прочие доходы от компенсации затрат бюджетов городских округов (доходы бюджета от возврата дебиторской задолженности прошлых лет)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Поступления доходов от возврата дебиторской задолженности прошлых лет от компенсации затрат местного бюджета - метод целевого ориентира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= ЦО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= ЦО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- прогнозируемый объем доходов бюджета от возврата дебиторской задолженности прошлых лет;</w:t>
            </w:r>
          </w:p>
          <w:p w14:paraId="69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6A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ЦО - ожидаемый результат работы по взысканию задолженности в бюджет города</w:t>
            </w:r>
          </w:p>
        </w:tc>
      </w:tr>
      <w:tr>
        <w:tc>
          <w:tcPr>
            <w:tcW w:type="dxa" w:w="51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505 1 13 02994 04 0334 130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Прочие доходы от компенсации затрат бюджетов городских округов (оплата восстановительной стоимости за снос зеленых насаждений)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Поступления доходов от оплаты стоимости восстановительной стоимости зеленых насаждений - метод усреднения с исключением несистемных поступлений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Пвос = 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>-</w:t>
            </w:r>
            <w:r>
              <w:drawing>
                <wp:inline>
                  <wp:extent cx="113029" cy="169545"/>
                  <wp:effectExtent b="0" l="0" r="0" t="0"/>
                  <wp:docPr hidden="false" id="13" name="Picture 13"/>
                  <a:graphic>
                    <a:graphicData uri="http://schemas.openxmlformats.org/drawingml/2006/picture">
                      <pic:pic>
                        <pic:nvPicPr>
                          <pic:cNvPr hidden="false" id="14" name="Picture 14"/>
                          <pic:cNvPicPr preferRelativeResize="true"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Пнес)/3+Дз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Пвос = 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>-</w:t>
            </w:r>
            <w:r>
              <w:drawing>
                <wp:inline>
                  <wp:extent cx="113029" cy="169545"/>
                  <wp:effectExtent b="0" l="0" r="0" t="0"/>
                  <wp:docPr hidden="false" id="15" name="Picture 15"/>
                  <a:graphic>
                    <a:graphicData uri="http://schemas.openxmlformats.org/drawingml/2006/picture">
                      <pic:pic>
                        <pic:nvPicPr>
                          <pic:cNvPr hidden="false" id="16" name="Picture 16"/>
                          <pic:cNvPicPr preferRelativeResize="true"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Пнес)/3 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Пвос - прогнозируемый объем поступлений в расчетном году;</w:t>
            </w:r>
          </w:p>
          <w:p w14:paraId="71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72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</w:t>
            </w:r>
          </w:p>
          <w:p w14:paraId="73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74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13029" cy="169545"/>
                  <wp:effectExtent b="0" l="0" r="0" t="0"/>
                  <wp:docPr hidden="false" id="17" name="Picture 17"/>
                  <a:graphic>
                    <a:graphicData uri="http://schemas.openxmlformats.org/drawingml/2006/picture">
                      <pic:pic>
                        <pic:nvPicPr>
                          <pic:cNvPr hidden="false" id="18" name="Picture 18"/>
                          <pic:cNvPicPr preferRelativeResize="true"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75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76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6.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505 1 16 01074 01 0000 140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Административные штрафы, установленные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begin"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instrText>HYPERLINK "https://internet.garant.ru/document/redirect/12125267/70"</w:instrTex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separate"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t>главой 7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end"/>
            </w:r>
            <w:r>
              <w:rPr>
                <w:rFonts w:ascii="PT Astra Serif" w:hAnsi="PT Astra Serif"/>
                <w:spacing w:val="0"/>
                <w:sz w:val="1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7E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13029" cy="169545"/>
                  <wp:effectExtent b="0" l="0" r="0" t="0"/>
                  <wp:docPr hidden="false" id="19" name="Picture 19"/>
                  <a:graphic>
                    <a:graphicData uri="http://schemas.openxmlformats.org/drawingml/2006/picture">
                      <pic:pic>
                        <pic:nvPicPr>
                          <pic:cNvPr hidden="false" id="20" name="Picture 20"/>
                          <pic:cNvPicPr preferRelativeResize="true"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80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13029" cy="169545"/>
                  <wp:effectExtent b="0" l="0" r="0" t="0"/>
                  <wp:docPr hidden="false" id="21" name="Picture 21"/>
                  <a:graphic>
                    <a:graphicData uri="http://schemas.openxmlformats.org/drawingml/2006/picture">
                      <pic:pic>
                        <pic:nvPicPr>
                          <pic:cNvPr hidden="false" id="22" name="Picture 22"/>
                          <pic:cNvPicPr preferRelativeResize="true"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82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83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84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85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13029" cy="169545"/>
                  <wp:effectExtent b="0" l="0" r="0" t="0"/>
                  <wp:docPr hidden="false" id="23" name="Picture 23"/>
                  <a:graphic>
                    <a:graphicData uri="http://schemas.openxmlformats.org/drawingml/2006/picture">
                      <pic:pic>
                        <pic:nvPicPr>
                          <pic:cNvPr hidden="false" id="24" name="Picture 24"/>
                          <pic:cNvPicPr preferRelativeResize="true"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86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87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7.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505 1 16 01084 01 0000 140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Административные штрафы, установленные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begin"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instrText>HYPERLINK "https://internet.garant.ru/document/redirect/12125267/80"</w:instrTex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separate"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t>главой 8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end"/>
            </w:r>
            <w:r>
              <w:rPr>
                <w:rFonts w:ascii="PT Astra Serif" w:hAnsi="PT Astra Serif"/>
                <w:spacing w:val="0"/>
                <w:sz w:val="1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8F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13029" cy="169545"/>
                  <wp:effectExtent b="0" l="0" r="0" t="0"/>
                  <wp:docPr hidden="false" id="25" name="Picture 25"/>
                  <a:graphic>
                    <a:graphicData uri="http://schemas.openxmlformats.org/drawingml/2006/picture">
                      <pic:pic>
                        <pic:nvPicPr>
                          <pic:cNvPr hidden="false" id="26" name="Picture 26"/>
                          <pic:cNvPicPr preferRelativeResize="true"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91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13029" cy="169545"/>
                  <wp:effectExtent b="0" l="0" r="0" t="0"/>
                  <wp:docPr hidden="false" id="27" name="Picture 27"/>
                  <a:graphic>
                    <a:graphicData uri="http://schemas.openxmlformats.org/drawingml/2006/picture">
                      <pic:pic>
                        <pic:nvPicPr>
                          <pic:cNvPr hidden="false" id="28" name="Picture 28"/>
                          <pic:cNvPicPr preferRelativeResize="true"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93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94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95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96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13029" cy="169545"/>
                  <wp:effectExtent b="0" l="0" r="0" t="0"/>
                  <wp:docPr hidden="false" id="29" name="Picture 29"/>
                  <a:graphic>
                    <a:graphicData uri="http://schemas.openxmlformats.org/drawingml/2006/picture">
                      <pic:pic>
                        <pic:nvPicPr>
                          <pic:cNvPr hidden="false" id="30" name="Picture 30"/>
                          <pic:cNvPicPr preferRelativeResize="true"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97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98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8.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505 1 16 02020 02 0000 140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(в том числе с применением постой средней или скользящей средней)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Пштр02 =</w:t>
            </w:r>
          </w:p>
          <w:p w14:paraId="A0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>) /3+Дз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Пштр02 =</w:t>
            </w:r>
          </w:p>
          <w:p w14:paraId="A2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>) /3+Дз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Пштр02 - прогнозируемый объем поступлений в расчетном году;</w:t>
            </w:r>
          </w:p>
          <w:p w14:paraId="A4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A5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фактическое поступление за 3 года, предшествующее текущему году, или за весь период поступления соответствующего вида доходов в случае, если он не превышает 3 года;</w:t>
            </w:r>
          </w:p>
          <w:p w14:paraId="A6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A7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9.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505 1 16 07010 04 0000 140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AF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13029" cy="169545"/>
                  <wp:effectExtent b="0" l="0" r="0" t="0"/>
                  <wp:docPr hidden="false" id="31" name="Picture 31"/>
                  <a:graphic>
                    <a:graphicData uri="http://schemas.openxmlformats.org/drawingml/2006/picture">
                      <pic:pic>
                        <pic:nvPicPr>
                          <pic:cNvPr hidden="false" id="32" name="Picture 32"/>
                          <pic:cNvPicPr preferRelativeResize="true"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B1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13029" cy="169545"/>
                  <wp:effectExtent b="0" l="0" r="0" t="0"/>
                  <wp:docPr hidden="false" id="33" name="Picture 33"/>
                  <a:graphic>
                    <a:graphicData uri="http://schemas.openxmlformats.org/drawingml/2006/picture">
                      <pic:pic>
                        <pic:nvPicPr>
                          <pic:cNvPr hidden="false" id="34" name="Picture 34"/>
                          <pic:cNvPicPr preferRelativeResize="true"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B3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B4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П 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B5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B6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13029" cy="169545"/>
                  <wp:effectExtent b="0" l="0" r="0" t="0"/>
                  <wp:docPr hidden="false" id="35" name="Picture 35"/>
                  <a:graphic>
                    <a:graphicData uri="http://schemas.openxmlformats.org/drawingml/2006/picture">
                      <pic:pic>
                        <pic:nvPicPr>
                          <pic:cNvPr hidden="false" id="36" name="Picture 36"/>
                          <pic:cNvPicPr preferRelativeResize="true"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B7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B8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10.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505 1 16 07090 04 0000 140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учреждение) городского округа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C0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13029" cy="169545"/>
                  <wp:effectExtent b="0" l="0" r="0" t="0"/>
                  <wp:docPr hidden="false" id="37" name="Picture 37"/>
                  <a:graphic>
                    <a:graphicData uri="http://schemas.openxmlformats.org/drawingml/2006/picture">
                      <pic:pic>
                        <pic:nvPicPr>
                          <pic:cNvPr hidden="false" id="38" name="Picture 38"/>
                          <pic:cNvPicPr preferRelativeResize="true"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C2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13029" cy="169545"/>
                  <wp:effectExtent b="0" l="0" r="0" t="0"/>
                  <wp:docPr hidden="false" id="39" name="Picture 39"/>
                  <a:graphic>
                    <a:graphicData uri="http://schemas.openxmlformats.org/drawingml/2006/picture">
                      <pic:pic>
                        <pic:nvPicPr>
                          <pic:cNvPr hidden="false" id="40" name="Picture 40"/>
                          <pic:cNvPicPr preferRelativeResize="true"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C4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C5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П 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C6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C7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13029" cy="169545"/>
                  <wp:effectExtent b="0" l="0" r="0" t="0"/>
                  <wp:docPr hidden="false" id="41" name="Picture 41"/>
                  <a:graphic>
                    <a:graphicData uri="http://schemas.openxmlformats.org/drawingml/2006/picture">
                      <pic:pic>
                        <pic:nvPicPr>
                          <pic:cNvPr hidden="false" id="42" name="Picture 42"/>
                          <pic:cNvPicPr preferRelativeResize="true"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C8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C9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11.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505 1 16 10123 01 0041 140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бюджет муниципального образования по нормативам, действовавшим в 2019 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D1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13029" cy="169545"/>
                  <wp:effectExtent b="0" l="0" r="0" t="0"/>
                  <wp:docPr hidden="false" id="43" name="Picture 43"/>
                  <a:graphic>
                    <a:graphicData uri="http://schemas.openxmlformats.org/drawingml/2006/picture">
                      <pic:pic>
                        <pic:nvPicPr>
                          <pic:cNvPr hidden="false" id="44" name="Picture 44"/>
                          <pic:cNvPicPr preferRelativeResize="true"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D3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13029" cy="169545"/>
                  <wp:effectExtent b="0" l="0" r="0" t="0"/>
                  <wp:docPr hidden="false" id="45" name="Picture 45"/>
                  <a:graphic>
                    <a:graphicData uri="http://schemas.openxmlformats.org/drawingml/2006/picture">
                      <pic:pic>
                        <pic:nvPicPr>
                          <pic:cNvPr hidden="false" id="46" name="Picture 46"/>
                          <pic:cNvPicPr preferRelativeResize="true"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D5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D6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D7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D8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13029" cy="169545"/>
                  <wp:effectExtent b="0" l="0" r="0" t="0"/>
                  <wp:docPr hidden="false" id="47" name="Picture 47"/>
                  <a:graphic>
                    <a:graphicData uri="http://schemas.openxmlformats.org/drawingml/2006/picture">
                      <pic:pic>
                        <pic:nvPicPr>
                          <pic:cNvPr hidden="false" id="48" name="Picture 48"/>
                          <pic:cNvPicPr preferRelativeResize="true"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D9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DA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12.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505 1 17 01040 04 0000 180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целевого ориентира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Пнев = ЦО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Пнев = ЦО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Пнев - прогнозируемый объем невыясненных поступлений, зачисляемых в бюджеты городских округов, в расчетном году;</w:t>
            </w:r>
          </w:p>
          <w:p w14:paraId="E4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E5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ЦО - целевой ориентир поступления в бюджет города невыясненных платежей.</w:t>
            </w:r>
          </w:p>
          <w:p w14:paraId="E602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E7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 невыясненным поступлениям относятся платежи, по которым расчетные документы заполнены с нарушениями установленного порядка.</w:t>
            </w:r>
          </w:p>
          <w:p w14:paraId="E8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Данный вид дохода служит для уточнения по назначению невыясненных платежей, зачисляемых в бюджет города. Показатель целевого ориентира (ЦО) устанавливается в размере 0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13.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505 1 17 05040 04 0000 180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Прочие неналоговые доходы бюджетов городских округов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прямого расчета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Ппнд = Начисл +1/5 ДЗад +/- Д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Ппнд = Начисл +1/5 ДЗад +/- Д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Ппнд - прогнозируемый объем поступлений прочих неналоговых доходов в расчетном году;</w:t>
            </w:r>
          </w:p>
          <w:p w14:paraId="F2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F3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начислений, ожидаемая к поступлению в расчетном году;</w:t>
            </w:r>
          </w:p>
          <w:p w14:paraId="F4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F5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сумма дебиторской задолженности на последнюю отчетную дату прошедшего периода текущего года;</w:t>
            </w:r>
          </w:p>
          <w:p w14:paraId="F6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F7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доходов, связанных с заключением (расторжением) договоров, возвратом денежных средств по решению судов, изменением нормативно-правовой базы, регулирующей начисления, в расчетном году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14.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505 1 17 15020 04 0000 150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Инициативные платежи, зачисляемые в бюджеты городских округов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(в том числе с применением постой средней или скользящей средней)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Пинпл = (П1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>-</w:t>
            </w:r>
            <w:r>
              <w:drawing>
                <wp:inline>
                  <wp:extent cx="113029" cy="169545"/>
                  <wp:effectExtent b="0" l="0" r="0" t="0"/>
                  <wp:docPr hidden="false" id="49" name="Picture 49"/>
                  <a:graphic>
                    <a:graphicData uri="http://schemas.openxmlformats.org/drawingml/2006/picture">
                      <pic:pic>
                        <pic:nvPicPr>
                          <pic:cNvPr hidden="false" id="50" name="Picture 50"/>
                          <pic:cNvPicPr preferRelativeResize="true"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Пнес)/3+Дз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Пинпл = (П1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>-</w:t>
            </w:r>
            <w:r>
              <w:drawing>
                <wp:inline>
                  <wp:extent cx="113029" cy="169545"/>
                  <wp:effectExtent b="0" l="0" r="0" t="0"/>
                  <wp:docPr hidden="false" id="51" name="Picture 51"/>
                  <a:graphic>
                    <a:graphicData uri="http://schemas.openxmlformats.org/drawingml/2006/picture">
                      <pic:pic>
                        <pic:nvPicPr>
                          <pic:cNvPr hidden="false" id="52" name="Picture 52"/>
                          <pic:cNvPicPr preferRelativeResize="true"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Пнес)/3 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Пинпл - прогнозируемый объем поступлений на планируемый период;</w:t>
            </w:r>
          </w:p>
          <w:p w14:paraId="0103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0203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фактическое поступление за 3 года, предшествующее текущему году, или за весь период поступления соответствующего вида доходов в случае, если он не превышает 3 года;</w:t>
            </w:r>
          </w:p>
          <w:p w14:paraId="0303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0403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13029" cy="169545"/>
                  <wp:effectExtent b="0" l="0" r="0" t="0"/>
                  <wp:docPr hidden="false" id="53" name="Picture 53"/>
                  <a:graphic>
                    <a:graphicData uri="http://schemas.openxmlformats.org/drawingml/2006/picture">
                      <pic:pic>
                        <pic:nvPicPr>
                          <pic:cNvPr hidden="false" id="54" name="Picture 54"/>
                          <pic:cNvPicPr preferRelativeResize="true"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 flipH="false" flipV="false" rot="0">
                            <a:ext cx="113029" cy="169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3 года, предшествующих текущему году, или за весь период поступления соответствующего вида доходов в случае, если он не превышает 3 года;</w:t>
            </w:r>
          </w:p>
          <w:p w14:paraId="0503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0603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rPr>
          <w:trHeight w:hRule="atLeast" w:val="2753"/>
        </w:trP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15.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Администрация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505 2 02 00000 00 0000 000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3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целевого ориентира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Бп =ЦО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Бп =ЦО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Бп - прогнозируемый объем безвозмездных поступлений от других бюджетов бюджетной системы Российской Федерации в расчетном году;</w:t>
            </w:r>
          </w:p>
          <w:p w14:paraId="1003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1103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ЦО - целевой ориентир.</w:t>
            </w:r>
          </w:p>
          <w:p w14:paraId="1203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За целевой ориентир принимаются утвержденные в текущем году плановые показатели по безвозмездным поступлениям от других бюджетов бюджетной системы Российской Федерации на расчетный год и плановый период</w:t>
            </w:r>
          </w:p>
        </w:tc>
      </w:tr>
    </w:tbl>
    <w:p w14:paraId="1303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</w:rPr>
      </w:pPr>
    </w:p>
    <w:p w14:paraId="14030000">
      <w:pPr>
        <w:sectPr>
          <w:headerReference r:id="rId11" w:type="default"/>
          <w:headerReference r:id="rId3" w:type="first"/>
          <w:headerReference r:id="rId1" w:type="even"/>
          <w:footerReference r:id="rId12" w:type="default"/>
          <w:footerReference r:id="rId4" w:type="first"/>
          <w:footerReference r:id="rId2" w:type="even"/>
          <w:type w:val="nextPage"/>
          <w:pgSz w:h="16838" w:orient="portrait" w:w="11906"/>
          <w:pgMar w:bottom="1134" w:footer="709" w:gutter="0" w:header="709" w:left="1701" w:right="851" w:top="1134"/>
          <w:pgNumType w:fmt="decimal" w:start="1"/>
          <w:titlePg/>
        </w:sectPr>
      </w:pPr>
    </w:p>
    <w:p w14:paraId="1503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2</w:t>
      </w:r>
    </w:p>
    <w:p w14:paraId="1603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1703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города Магнитогорска </w:t>
      </w:r>
    </w:p>
    <w:p w14:paraId="1803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06.08.2026 № 5662-П</w:t>
      </w:r>
    </w:p>
    <w:p w14:paraId="1903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</w:p>
    <w:p w14:paraId="1A03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4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к Методике прогнозирования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поступлений доходов,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администрируемых главными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администраторами доходов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бюджета города Магнитогорска,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в бюджет города</w:t>
      </w:r>
    </w:p>
    <w:p w14:paraId="1B03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</w:rPr>
      </w:pPr>
    </w:p>
    <w:p w14:paraId="1C030000">
      <w:pPr>
        <w:pStyle w:val="Style_8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Методика</w:t>
      </w:r>
      <w:r>
        <w:rPr>
          <w:rFonts w:ascii="PT Astra Serif" w:hAnsi="PT Astra Serif"/>
          <w:b w:val="0"/>
          <w:color w:val="000000"/>
          <w:sz w:val="24"/>
        </w:rPr>
        <w:br/>
      </w:r>
      <w:r>
        <w:rPr>
          <w:rFonts w:ascii="PT Astra Serif" w:hAnsi="PT Astra Serif"/>
          <w:b w:val="0"/>
          <w:color w:val="000000"/>
          <w:sz w:val="24"/>
        </w:rPr>
        <w:t>прогнозирования поступлений доходов, администрируемых главными администраторами доходов бюджета города Магнитогорска, в бюджет города - Управлением образования администрации города Магнитогорска</w:t>
      </w:r>
    </w:p>
    <w:p w14:paraId="1D03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highlight w:val="yellow"/>
        </w:rPr>
      </w:pPr>
    </w:p>
    <w:tbl>
      <w:tblPr>
        <w:tblStyle w:val="Style_4"/>
        <w:tblW w:type="auto" w:w="0"/>
        <w:jc w:val="left"/>
        <w:tblInd w:type="dxa" w:w="-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4"/>
        <w:gridCol w:w="453"/>
        <w:gridCol w:w="1004"/>
        <w:gridCol w:w="776"/>
        <w:gridCol w:w="1135"/>
        <w:gridCol w:w="1114"/>
        <w:gridCol w:w="1047"/>
        <w:gridCol w:w="907"/>
        <w:gridCol w:w="2433"/>
      </w:tblGrid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N</w:t>
            </w:r>
          </w:p>
          <w:p w14:paraId="1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п/п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Код главного администратора доходов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Наименование главного администратора доходов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КБК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Наименование КБК доходов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Наименование метода расчета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Формула расчета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Алгоритм расчета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Описание показателей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508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образования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508 1 11 05034 04 0000 120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прямого расчета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ПДопер = Начисл + 1/5 Дзад +/- Д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ПДопер = Начисл + 1/5 Дзад +/- Д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ПДопер - прогнозируемый объем поступлений доходов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учреждений), в расчетном году;</w:t>
            </w:r>
          </w:p>
          <w:p w14:paraId="31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2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 по договорам аренды имущества, прогнозируемая к поступлению в расчетном году. Принимается сумма начислений по действующим договорам аренды на момент составления прогноза поступления доходов;</w:t>
            </w:r>
          </w:p>
          <w:p w14:paraId="33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4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суммы дебиторской задолженности на последнюю отчетную дату прошедшего периода текущего года;</w:t>
            </w:r>
          </w:p>
          <w:p w14:paraId="35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6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доходов, связанных с заключением (расторжением) договоров, возвратом денежных средств по решению судов, изменением нормативно-правовой базы, регулирующей начисления, в расчетном году</w:t>
            </w:r>
          </w:p>
        </w:tc>
      </w:tr>
      <w:tr>
        <w:trPr>
          <w:trHeight w:hRule="atLeast" w:val="1381"/>
        </w:trPr>
        <w:tc>
          <w:tcPr>
            <w:tcW w:type="dxa" w:w="48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bookmarkStart w:id="1" w:name="sub_1032"/>
            <w:r>
              <w:rPr>
                <w:rFonts w:ascii="PT Astra Serif" w:hAnsi="PT Astra Serif"/>
                <w:spacing w:val="0"/>
                <w:sz w:val="16"/>
              </w:rPr>
              <w:t>2.</w:t>
            </w:r>
            <w:bookmarkEnd w:id="1"/>
          </w:p>
        </w:tc>
        <w:tc>
          <w:tcPr>
            <w:tcW w:type="dxa" w:w="45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508</w:t>
            </w:r>
          </w:p>
        </w:tc>
        <w:tc>
          <w:tcPr>
            <w:tcW w:type="dxa" w:w="10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образования администрации города Магнитогорска</w:t>
            </w:r>
          </w:p>
        </w:tc>
        <w:tc>
          <w:tcPr>
            <w:tcW w:type="dxa" w:w="77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508 1 13 02064 04 0000 130</w:t>
            </w:r>
          </w:p>
        </w:tc>
        <w:tc>
          <w:tcPr>
            <w:tcW w:type="dxa" w:w="113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поступления по договорам на возмещение расходов по оплате коммунальных услуг - метод прямого расчета;</w:t>
            </w:r>
          </w:p>
          <w:p w14:paraId="3D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0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1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2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3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4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5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6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7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8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9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A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B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C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D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Дкомп = (Начисл +/- Д)*К + Дзад</w:t>
            </w:r>
          </w:p>
          <w:p w14:paraId="51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2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3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4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5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6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7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8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9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A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B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C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D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0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1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2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3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4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5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6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7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8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9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A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B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C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6D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Дкомп = (Начисл +/- Д)*К + Дзад</w:t>
            </w:r>
          </w:p>
          <w:p w14:paraId="6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0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1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2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3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4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5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6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7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8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9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A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B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C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D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0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1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2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3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4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5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6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7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8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9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A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Дкомп - прогнозируемый объем поступлений на возмещение расходов по оплате коммунальных услуг в расчетном году;</w:t>
            </w:r>
          </w:p>
          <w:p w14:paraId="8C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D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начислений, ожидаемая к поступлению в расчетном году;</w:t>
            </w:r>
          </w:p>
          <w:p w14:paraId="8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доходов, связанных с заключением новых договоров в расчетном периоде или истечения срока действия ранее заключенных договоров;</w:t>
            </w:r>
          </w:p>
          <w:p w14:paraId="90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1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 - коэффициент, учитывающий изменение цен на жилищно-коммунальные услуги, согласованный с управлением экономики и инвестиций;</w:t>
            </w:r>
          </w:p>
          <w:p w14:paraId="92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3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сумма дебиторской задолженности на последнюю отчетную дату прошедшего периода текущего года</w:t>
            </w:r>
          </w:p>
        </w:tc>
      </w:tr>
      <w:tr>
        <w:tc>
          <w:tcPr>
            <w:tcW w:type="dxa" w:w="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5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7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поступления по прочим договорам на возмещение расходов по оплате услуг по содержанию и ремонту общего имущества, взносов на капитальный ремонт, пультовой охраны, технического обслуживания технических средств охранной сигнализации и других расходов по эксплуатации имущества - метод прямого расчета.</w:t>
            </w:r>
          </w:p>
          <w:p w14:paraId="95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Дкомп пр = Начисл +/- Д + Дзад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Дкомп пр = Начисл +/- Д + Дзад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Дкомп пр - прогнозируемый объем поступлений на возмещение расходов по прочим договорам в расчетном году;</w:t>
            </w:r>
          </w:p>
          <w:p w14:paraId="99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A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начислений, ожидаемая к поступлению в расчетном году;</w:t>
            </w:r>
          </w:p>
          <w:p w14:paraId="9B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C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доходов, связанных с заключением новых договоров в расчетном периоде или истечения срока действия ранее заключенных договоров;</w:t>
            </w:r>
          </w:p>
          <w:p w14:paraId="9D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сумма дебиторской задолженности на последнюю отчетную дату прошедшего периода текущего года</w:t>
            </w:r>
          </w:p>
        </w:tc>
      </w:tr>
      <w:tr>
        <w:trPr>
          <w:trHeight w:hRule="atLeast" w:val="2769"/>
        </w:trPr>
        <w:tc>
          <w:tcPr>
            <w:tcW w:type="dxa" w:w="48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3.</w:t>
            </w:r>
          </w:p>
        </w:tc>
        <w:tc>
          <w:tcPr>
            <w:tcW w:type="dxa" w:w="45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508</w:t>
            </w:r>
          </w:p>
        </w:tc>
        <w:tc>
          <w:tcPr>
            <w:tcW w:type="dxa" w:w="10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образования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1) 508 1 13 02994 04 0134 130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1) Прочие доходы от компенсации затрат бюджетов городских округов (прочие доходы от компенсации затрат)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1) Поступления прочих доходов от   компенсации затрат  бюджета города-  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1)  Пкомп = (П1+П2+П3- ∑Пнес)/3</w:t>
            </w:r>
            <w:r>
              <w:rPr>
                <w:rFonts w:ascii="PT Astra Serif" w:hAnsi="PT Astra Serif"/>
                <w:spacing w:val="0"/>
                <w:sz w:val="16"/>
              </w:rPr>
              <w:t>+Дз</w:t>
            </w:r>
          </w:p>
          <w:p w14:paraId="A6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A7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A8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1) Пкомп = (П1+П2+П3- ∑Пнес)/3+</w:t>
            </w:r>
            <w:r>
              <w:rPr>
                <w:rFonts w:ascii="PT Astra Serif" w:hAnsi="PT Astra Serif"/>
                <w:spacing w:val="0"/>
                <w:sz w:val="16"/>
              </w:rPr>
              <w:t>+Дз</w:t>
            </w:r>
          </w:p>
          <w:p w14:paraId="AA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AB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AC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AD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A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A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B0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B1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B2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B3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B4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B5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1) Пкомп - прогнозируемый объем поступлений в расчетном году;</w:t>
            </w:r>
          </w:p>
          <w:p w14:paraId="B7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B8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П1, П2, П3 - фактический объем поступлений за отчетный период;</w:t>
            </w:r>
          </w:p>
          <w:p w14:paraId="B9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BA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∑</w:t>
            </w: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Пнес - суммарный объем поступлений, носящих несистемный характер, за отчетный период;</w:t>
            </w:r>
          </w:p>
          <w:p w14:paraId="BB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BC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5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2) 508 1 13 02994 04 0136 130</w:t>
            </w:r>
          </w:p>
          <w:p w14:paraId="B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  <w:highlight w:val="white"/>
              </w:rPr>
            </w:pP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2) Прочие доходы от компенсации затрат бюджетов городских округов (доходы бюджета от возврата дебиторской задолженности прошлых лет)</w:t>
            </w:r>
          </w:p>
          <w:p w14:paraId="C0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2) Поступления доходов от возврата дебиторской задолженности прошлых лет от компенсации затрат местного бюджета-  метод целевого ориентира</w:t>
            </w:r>
          </w:p>
          <w:p w14:paraId="C2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2) Пдеб = ЦО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2) Пдеб = ЦО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2) Пдеб - прогнозируемый объем доходов бюджета от возврата дебиторской задолженности прошлых лет;</w:t>
            </w:r>
          </w:p>
          <w:p w14:paraId="C6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C7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ЦО – ожидаемый результат работы по взысканию задолженности в бюджет города</w:t>
            </w:r>
          </w:p>
        </w:tc>
      </w:tr>
      <w:tr>
        <w:trPr>
          <w:trHeight w:hRule="atLeast" w:val="3507"/>
        </w:trPr>
        <w:tc>
          <w:tcPr>
            <w:tcW w:type="dxa" w:w="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5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3) 508 1 13 02994 04 0234 130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3) Прочие доходы от компенсации затрат бюджетов городских округов (средства от возврата бюджетными и автономными учреждениями субсидий на финансовое обеспечение выполнения муниципального задания)</w:t>
            </w:r>
          </w:p>
          <w:p w14:paraId="CA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3) Поступления доходов от возврата дебиторской задолженности прошлых лет от компенсации затрат местного бюджета-  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3) Пмз = (П1+П2+П3- ∑Пнес)/3+Дз</w:t>
            </w:r>
          </w:p>
          <w:p w14:paraId="CD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3) Пмз = (П1+П2+П3- ∑Пнес)/3+Дз</w:t>
            </w:r>
          </w:p>
          <w:p w14:paraId="C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Пмз - прогнозируемый объем поступлений в расчетном году;</w:t>
            </w:r>
          </w:p>
          <w:p w14:paraId="D1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D2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П1, П2, П3 - фактический объем поступлений за отчетный период;</w:t>
            </w:r>
          </w:p>
          <w:p w14:paraId="D3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D4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∑</w:t>
            </w: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Пнес - суммарный объем поступлений, носящих несистемный характер, за отчетный период;</w:t>
            </w:r>
          </w:p>
          <w:p w14:paraId="D5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D6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4.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508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Управление образования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508 1 14 02042 04 0000 440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  <w:p w14:paraId="DC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Пимущ =</w:t>
            </w:r>
          </w:p>
          <w:p w14:paraId="D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(П1 + П2 + П3 - ∑Пнес) /3</w:t>
            </w:r>
          </w:p>
          <w:p w14:paraId="E0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Пимущ =</w:t>
            </w:r>
          </w:p>
          <w:p w14:paraId="E2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(П1 + П2 + П3 - ∑Пнес) /3</w:t>
            </w:r>
          </w:p>
          <w:p w14:paraId="E3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Пимущ - прогнозируемый объем поступлений на планируемый период;</w:t>
            </w:r>
          </w:p>
          <w:p w14:paraId="E5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E6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 1, П 2, П 3 - фактическое поступление за отчетный период;</w:t>
            </w:r>
          </w:p>
          <w:p w14:paraId="E7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E8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∑</w:t>
            </w: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Пнес - суммарный объем поступлений, носящих несистемный характер, за отчетный период;</w:t>
            </w:r>
          </w:p>
          <w:p w14:paraId="E9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EA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5.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508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Управление образования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508 1 16 07010 04 0000 140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both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Пштр =</w:t>
            </w:r>
          </w:p>
          <w:p w14:paraId="F2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 xml:space="preserve">(П1 + П2 + П3 - </w:t>
            </w:r>
            <w:r>
              <w:rPr>
                <w:sz w:val="22"/>
              </w:rPr>
              <w:drawing>
                <wp:inline>
                  <wp:extent cx="93980" cy="132080"/>
                  <wp:effectExtent b="0" l="0" r="0" t="0"/>
                  <wp:docPr hidden="false" id="55" name="Picture 55"/>
                  <a:graphic>
                    <a:graphicData uri="http://schemas.openxmlformats.org/drawingml/2006/picture">
                      <pic:pic>
                        <pic:nvPicPr>
                          <pic:cNvPr hidden="false" id="56" name="Picture 56"/>
                          <pic:cNvPicPr preferRelativeResize="true"/>
                        </pic:nvPicPr>
                        <pic:blipFill>
                          <a:blip r:embed="rId58"/>
                          <a:srcRect b="-376" l="-532" r="-532" t="-376"/>
                          <a:stretch/>
                        </pic:blipFill>
                        <pic:spPr>
                          <a:xfrm flipH="false" flipV="false" rot="0">
                            <a:ext cx="93980" cy="132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Пнес) /3 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Пштр =</w:t>
            </w:r>
          </w:p>
          <w:p w14:paraId="F4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 xml:space="preserve">(П1 + П2 + П3 - </w:t>
            </w:r>
            <w:r>
              <w:rPr>
                <w:sz w:val="22"/>
              </w:rPr>
              <w:drawing>
                <wp:inline>
                  <wp:extent cx="93980" cy="132080"/>
                  <wp:effectExtent b="0" l="0" r="0" t="0"/>
                  <wp:docPr hidden="false" id="57" name="Picture 57"/>
                  <a:graphic>
                    <a:graphicData uri="http://schemas.openxmlformats.org/drawingml/2006/picture">
                      <pic:pic>
                        <pic:nvPicPr>
                          <pic:cNvPr hidden="false" id="58" name="Picture 58"/>
                          <pic:cNvPicPr preferRelativeResize="true"/>
                        </pic:nvPicPr>
                        <pic:blipFill>
                          <a:blip r:embed="rId59"/>
                          <a:srcRect b="-376" l="-532" r="-532" t="-376"/>
                          <a:stretch/>
                        </pic:blipFill>
                        <pic:spPr>
                          <a:xfrm flipH="false" flipV="false" rot="0">
                            <a:ext cx="93980" cy="132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Пштр - прогнозируемый объем поступлений в расчетном году;</w:t>
            </w:r>
          </w:p>
          <w:p w14:paraId="F6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F7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 1, П 2, П 3 - фактический объем поступлений за отчетный период;</w:t>
            </w:r>
          </w:p>
          <w:p w14:paraId="F8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F9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sz w:val="22"/>
              </w:rPr>
              <w:drawing>
                <wp:inline>
                  <wp:extent cx="93980" cy="132080"/>
                  <wp:effectExtent b="0" l="0" r="0" t="0"/>
                  <wp:docPr hidden="false" id="59" name="Picture 59"/>
                  <a:graphic>
                    <a:graphicData uri="http://schemas.openxmlformats.org/drawingml/2006/picture">
                      <pic:pic>
                        <pic:nvPicPr>
                          <pic:cNvPr hidden="false" id="60" name="Picture 60"/>
                          <pic:cNvPicPr preferRelativeResize="true"/>
                        </pic:nvPicPr>
                        <pic:blipFill>
                          <a:blip r:embed="rId60"/>
                          <a:srcRect b="-376" l="-532" r="-532" t="-376"/>
                          <a:stretch/>
                        </pic:blipFill>
                        <pic:spPr>
                          <a:xfrm flipH="false" flipV="false" rot="0">
                            <a:ext cx="93980" cy="132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Пнес - суммарный объем поступлений, носящих несистемный характер, за отчетный период</w:t>
            </w:r>
          </w:p>
          <w:p w14:paraId="FA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FB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6.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508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Управление образования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508 1 16 10061 04 0000 140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Пштр =</w:t>
            </w:r>
          </w:p>
          <w:p w14:paraId="0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 xml:space="preserve">(П1 + П2 + П3 - </w:t>
            </w:r>
            <w:r>
              <w:rPr>
                <w:sz w:val="22"/>
              </w:rPr>
              <w:drawing>
                <wp:inline>
                  <wp:extent cx="93980" cy="132080"/>
                  <wp:effectExtent b="0" l="0" r="0" t="0"/>
                  <wp:docPr hidden="false" id="61" name="Picture 61"/>
                  <a:graphic>
                    <a:graphicData uri="http://schemas.openxmlformats.org/drawingml/2006/picture">
                      <pic:pic>
                        <pic:nvPicPr>
                          <pic:cNvPr hidden="false" id="62" name="Picture 62"/>
                          <pic:cNvPicPr preferRelativeResize="true"/>
                        </pic:nvPicPr>
                        <pic:blipFill>
                          <a:blip r:embed="rId61"/>
                          <a:srcRect b="-376" l="-532" r="-532" t="-376"/>
                          <a:stretch/>
                        </pic:blipFill>
                        <pic:spPr>
                          <a:xfrm flipH="false" flipV="false" rot="0">
                            <a:ext cx="93980" cy="132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Пнес) /3 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Пштр =</w:t>
            </w:r>
          </w:p>
          <w:p w14:paraId="0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 xml:space="preserve">(П1 + П2 + П3 - </w:t>
            </w:r>
            <w:r>
              <w:rPr>
                <w:sz w:val="22"/>
              </w:rPr>
              <w:drawing>
                <wp:inline>
                  <wp:extent cx="93980" cy="132080"/>
                  <wp:effectExtent b="0" l="0" r="0" t="0"/>
                  <wp:docPr hidden="false" id="63" name="Picture 63"/>
                  <a:graphic>
                    <a:graphicData uri="http://schemas.openxmlformats.org/drawingml/2006/picture">
                      <pic:pic>
                        <pic:nvPicPr>
                          <pic:cNvPr hidden="false" id="64" name="Picture 64"/>
                          <pic:cNvPicPr preferRelativeResize="true"/>
                        </pic:nvPicPr>
                        <pic:blipFill>
                          <a:blip r:embed="rId62"/>
                          <a:srcRect b="-376" l="-532" r="-532" t="-376"/>
                          <a:stretch/>
                        </pic:blipFill>
                        <pic:spPr>
                          <a:xfrm flipH="false" flipV="false" rot="0">
                            <a:ext cx="93980" cy="132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Пштр - прогнозируемый объем поступлений в расчетном году;</w:t>
            </w:r>
          </w:p>
          <w:p w14:paraId="0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08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 1, П 2, П 3 - фактический объем поступлений за отчетный период;</w:t>
            </w:r>
          </w:p>
          <w:p w14:paraId="09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0A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sz w:val="22"/>
              </w:rPr>
              <w:drawing>
                <wp:inline>
                  <wp:extent cx="93980" cy="132080"/>
                  <wp:effectExtent b="0" l="0" r="0" t="0"/>
                  <wp:docPr hidden="false" id="65" name="Picture 65"/>
                  <a:graphic>
                    <a:graphicData uri="http://schemas.openxmlformats.org/drawingml/2006/picture">
                      <pic:pic>
                        <pic:nvPicPr>
                          <pic:cNvPr hidden="false" id="66" name="Picture 66"/>
                          <pic:cNvPicPr preferRelativeResize="true"/>
                        </pic:nvPicPr>
                        <pic:blipFill>
                          <a:blip r:embed="rId63"/>
                          <a:srcRect b="-376" l="-532" r="-532" t="-376"/>
                          <a:stretch/>
                        </pic:blipFill>
                        <pic:spPr>
                          <a:xfrm flipH="false" flipV="false" rot="0">
                            <a:ext cx="93980" cy="132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Пнес - суммарный объем поступлений, носящих несистемный характер, за отчетный период;</w:t>
            </w:r>
          </w:p>
          <w:p w14:paraId="0B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0C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 xml:space="preserve"> </w:t>
            </w: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7.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508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образования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508 1 16 10123 01 0041 140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</w:t>
            </w:r>
            <w:r>
              <w:rPr>
                <w:rFonts w:ascii="PT Astra Serif" w:hAnsi="PT Astra Serif"/>
                <w:spacing w:val="-6"/>
                <w:sz w:val="16"/>
              </w:rPr>
              <w:t>униципального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образования по нормативам, действовавшим в 2019 году (доходы бюджетов городских округов за исключением доходов, направляемых на формирование м</w:t>
            </w:r>
            <w:r>
              <w:rPr>
                <w:rFonts w:ascii="PT Astra Serif" w:hAnsi="PT Astra Serif"/>
                <w:spacing w:val="-6"/>
                <w:sz w:val="16"/>
              </w:rPr>
              <w:t>униципального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дорожного фонда, а также иных платежей в случае принятия решения финансовым органом м</w:t>
            </w:r>
            <w:r>
              <w:rPr>
                <w:rFonts w:ascii="PT Astra Serif" w:hAnsi="PT Astra Serif"/>
                <w:spacing w:val="-6"/>
                <w:sz w:val="16"/>
              </w:rPr>
              <w:t>униципального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образования о раздельном учете задолженности)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1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rPr>
                <w:sz w:val="22"/>
              </w:rPr>
              <w:drawing>
                <wp:inline>
                  <wp:extent cx="93980" cy="132080"/>
                  <wp:effectExtent b="0" l="0" r="0" t="0"/>
                  <wp:docPr hidden="false" id="67" name="Picture 67"/>
                  <a:graphic>
                    <a:graphicData uri="http://schemas.openxmlformats.org/drawingml/2006/picture">
                      <pic:pic>
                        <pic:nvPicPr>
                          <pic:cNvPr hidden="false" id="68" name="Picture 68"/>
                          <pic:cNvPicPr preferRelativeResize="true"/>
                        </pic:nvPicPr>
                        <pic:blipFill>
                          <a:blip r:embed="rId64"/>
                          <a:srcRect b="-376" l="-532" r="-532" t="-376"/>
                          <a:stretch/>
                        </pic:blipFill>
                        <pic:spPr>
                          <a:xfrm flipH="false" flipV="false" rot="0">
                            <a:ext cx="93980" cy="132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1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rPr>
                <w:sz w:val="22"/>
              </w:rPr>
              <w:drawing>
                <wp:inline>
                  <wp:extent cx="93980" cy="132080"/>
                  <wp:effectExtent b="0" l="0" r="0" t="0"/>
                  <wp:docPr hidden="false" id="69" name="Picture 69"/>
                  <a:graphic>
                    <a:graphicData uri="http://schemas.openxmlformats.org/drawingml/2006/picture">
                      <pic:pic>
                        <pic:nvPicPr>
                          <pic:cNvPr hidden="false" id="70" name="Picture 70"/>
                          <pic:cNvPicPr preferRelativeResize="true"/>
                        </pic:nvPicPr>
                        <pic:blipFill>
                          <a:blip r:embed="rId65"/>
                          <a:srcRect b="-376" l="-532" r="-532" t="-376"/>
                          <a:stretch/>
                        </pic:blipFill>
                        <pic:spPr>
                          <a:xfrm flipH="false" flipV="false" rot="0">
                            <a:ext cx="93980" cy="132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Пштр - прогнозируемый объем поступлений в расчетном году;</w:t>
            </w:r>
          </w:p>
          <w:p w14:paraId="18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19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 xml:space="preserve">П </w:t>
            </w:r>
            <w:r>
              <w:rPr>
                <w:rFonts w:ascii="PT Astra Serif" w:hAnsi="PT Astra Serif"/>
                <w:spacing w:val="0"/>
                <w:sz w:val="16"/>
                <w:highlight w:val="white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highlight w:val="white"/>
                <w:vertAlign w:val="subscript"/>
              </w:rPr>
              <w:t xml:space="preserve"> 2</w:t>
            </w: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highlight w:val="white"/>
                <w:vertAlign w:val="subscript"/>
              </w:rPr>
              <w:t xml:space="preserve"> 3</w:t>
            </w: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 xml:space="preserve"> - фактический объем поступлений за отчетный период;</w:t>
            </w:r>
          </w:p>
          <w:p w14:paraId="1A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  <w:p w14:paraId="1B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sz w:val="22"/>
              </w:rPr>
              <w:drawing>
                <wp:inline>
                  <wp:extent cx="93980" cy="132080"/>
                  <wp:effectExtent b="0" l="0" r="0" t="0"/>
                  <wp:docPr hidden="false" id="71" name="Picture 71"/>
                  <a:graphic>
                    <a:graphicData uri="http://schemas.openxmlformats.org/drawingml/2006/picture">
                      <pic:pic>
                        <pic:nvPicPr>
                          <pic:cNvPr hidden="false" id="72" name="Picture 72"/>
                          <pic:cNvPicPr preferRelativeResize="true"/>
                        </pic:nvPicPr>
                        <pic:blipFill>
                          <a:blip r:embed="rId66"/>
                          <a:srcRect b="-376" l="-532" r="-532" t="-376"/>
                          <a:stretch/>
                        </pic:blipFill>
                        <pic:spPr>
                          <a:xfrm flipH="false" flipV="false" rot="0">
                            <a:ext cx="93980" cy="132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  <w:highlight w:val="white"/>
              </w:rPr>
              <w:t>Пнес - суммарный объем поступлений, носящих несистемный характер, за отчетный период</w:t>
            </w:r>
          </w:p>
          <w:p w14:paraId="1C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  <w:p w14:paraId="1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8.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508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образования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508 1 17 01040 04 0000 180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целевого ориентира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Пнев = ЦО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Пнев = ЦО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Пнев - прогнозируемый объем невыясненных поступлений, зачисляемых в бюджеты городских округов, в расчетном году;</w:t>
            </w:r>
          </w:p>
          <w:p w14:paraId="28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9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ЦО - целевой ориентир поступления в бюджет города невыясненных платежей.</w:t>
            </w:r>
          </w:p>
          <w:p w14:paraId="2A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B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 невыясненным поступлениям относятся платежи, по которым расчетные документы заполнены с нарушениями установленного порядка.</w:t>
            </w:r>
          </w:p>
          <w:p w14:paraId="2C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Данный вид дохода служит для уточнения по назначению невыясненных платежей, зачисляемых в бюджет города. Показатель целевого ориентира (ЦО) устанавливается в размере 0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9</w:t>
            </w:r>
            <w:bookmarkStart w:id="2" w:name="sub_1033"/>
            <w:r>
              <w:rPr>
                <w:rFonts w:ascii="PT Astra Serif" w:hAnsi="PT Astra Serif"/>
                <w:spacing w:val="0"/>
                <w:sz w:val="16"/>
              </w:rPr>
              <w:t>.</w:t>
            </w:r>
            <w:bookmarkEnd w:id="2"/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508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образования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508 1 17 15020 04 0000 150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Инициативные платежи, зачисляемые в бюджеты городских округов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(в том числе с применением простой или скользящей средней)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Пинпл = (П1+П2+П 3-</w:t>
            </w:r>
            <w:r>
              <w:rPr>
                <w:sz w:val="22"/>
              </w:rPr>
              <w:drawing>
                <wp:inline>
                  <wp:extent cx="75565" cy="132080"/>
                  <wp:effectExtent b="0" l="0" r="0" t="0"/>
                  <wp:docPr hidden="false" id="73" name="Picture 73"/>
                  <a:graphic>
                    <a:graphicData uri="http://schemas.openxmlformats.org/drawingml/2006/picture">
                      <pic:pic>
                        <pic:nvPicPr>
                          <pic:cNvPr hidden="false" id="74" name="Picture 74"/>
                          <pic:cNvPicPr preferRelativeResize="true"/>
                        </pic:nvPicPr>
                        <pic:blipFill>
                          <a:blip r:embed="rId67"/>
                          <a:srcRect b="-376" l="-637" r="-637" t="-376"/>
                          <a:stretch/>
                        </pic:blipFill>
                        <pic:spPr>
                          <a:xfrm flipH="false" flipV="false" rot="0">
                            <a:ext cx="75565" cy="132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Пнес)/3+Дз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Пинпл = (П1+П2+П3-</w:t>
            </w:r>
            <w:r>
              <w:rPr>
                <w:sz w:val="22"/>
              </w:rPr>
              <w:drawing>
                <wp:inline>
                  <wp:extent cx="75565" cy="132080"/>
                  <wp:effectExtent b="0" l="0" r="0" t="0"/>
                  <wp:docPr hidden="false" id="75" name="Picture 75"/>
                  <a:graphic>
                    <a:graphicData uri="http://schemas.openxmlformats.org/drawingml/2006/picture">
                      <pic:pic>
                        <pic:nvPicPr>
                          <pic:cNvPr hidden="false" id="76" name="Picture 76"/>
                          <pic:cNvPicPr preferRelativeResize="true"/>
                        </pic:nvPicPr>
                        <pic:blipFill>
                          <a:blip r:embed="rId68"/>
                          <a:srcRect b="-376" l="-637" r="-637" t="-376"/>
                          <a:stretch/>
                        </pic:blipFill>
                        <pic:spPr>
                          <a:xfrm flipH="false" flipV="false" rot="0">
                            <a:ext cx="75565" cy="132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Пнес)/3+Дз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Пинпл - прогнозируемый объем поступлений на планируемый период;</w:t>
            </w:r>
          </w:p>
          <w:p w14:paraId="3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1, П 2, П 3 - фактическое поступление за 3 года, предшествующее текущему году, или за весь период поступления соответствующего вида доходов в случае, если он не превышает 3 года;</w:t>
            </w:r>
          </w:p>
          <w:p w14:paraId="38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9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sz w:val="22"/>
              </w:rPr>
              <w:drawing>
                <wp:inline>
                  <wp:extent cx="67310" cy="134620"/>
                  <wp:effectExtent b="0" l="0" r="0" t="0"/>
                  <wp:docPr hidden="false" id="77" name="Picture 77"/>
                  <a:graphic>
                    <a:graphicData uri="http://schemas.openxmlformats.org/drawingml/2006/picture">
                      <pic:pic>
                        <pic:nvPicPr>
                          <pic:cNvPr hidden="false" id="78" name="Picture 78"/>
                          <pic:cNvPicPr preferRelativeResize="true"/>
                        </pic:nvPicPr>
                        <pic:blipFill>
                          <a:blip r:embed="rId69"/>
                          <a:srcRect b="-376" l="-637" r="-637" t="-376"/>
                          <a:stretch/>
                        </pic:blipFill>
                        <pic:spPr>
                          <a:xfrm flipH="false" flipV="false" rot="0">
                            <a:ext cx="67310" cy="1346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3 года, предшествующих текущему году, или за весь период поступления соответствующего вида доходов в случае, если он не превышает 3 года;</w:t>
            </w:r>
          </w:p>
          <w:p w14:paraId="3A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B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  <w:highlight w:val="white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rPr>
          <w:trHeight w:hRule="atLeast" w:val="2741"/>
        </w:trP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10.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508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образования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508 2 02 00000 00 0000 000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целевого ориентира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Бп =ЦО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Бп =ЦО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Бп - прогнозируемый объем безвозмездных поступлений от других бюджетов бюджетной системы Российской Федерации в расчетном году;</w:t>
            </w:r>
          </w:p>
          <w:p w14:paraId="4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ЦО - целевой ориентир.</w:t>
            </w:r>
          </w:p>
          <w:p w14:paraId="4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За целевой ориентир принимаются утвержденные в текущем году плановые показатели по безвозмездным поступлениям от других бюджетов бюджетной системы Российской Федерации на расчетный год и плановый период</w:t>
            </w:r>
          </w:p>
        </w:tc>
      </w:tr>
    </w:tbl>
    <w:p w14:paraId="48040000">
      <w:pPr>
        <w:pStyle w:val="Style_3"/>
        <w:widowControl w:val="0"/>
        <w:spacing w:after="0" w:before="0" w:line="240" w:lineRule="auto"/>
        <w:ind/>
        <w:jc w:val="right"/>
        <w:rPr>
          <w:rFonts w:ascii="PT Astra Serif" w:hAnsi="PT Astra Serif"/>
        </w:rPr>
      </w:pPr>
    </w:p>
    <w:p w14:paraId="49040000">
      <w:pPr>
        <w:sectPr>
          <w:headerReference r:id="rId25" w:type="default"/>
          <w:headerReference r:id="rId27" w:type="first"/>
          <w:headerReference r:id="rId7" w:type="even"/>
          <w:footerReference r:id="rId26" w:type="default"/>
          <w:footerReference r:id="rId28" w:type="first"/>
          <w:footerReference r:id="rId8" w:type="even"/>
          <w:type w:val="nextPage"/>
          <w:pgSz w:h="16838" w:orient="portrait" w:w="11906"/>
          <w:pgMar w:bottom="1134" w:footer="709" w:gutter="0" w:header="709" w:left="1701" w:right="851" w:top="1134"/>
          <w:pgNumType w:fmt="decimal" w:start="1"/>
          <w:titlePg/>
        </w:sectPr>
      </w:pPr>
    </w:p>
    <w:p w14:paraId="4A04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3</w:t>
      </w:r>
    </w:p>
    <w:p w14:paraId="4B04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4C04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города Магнитогорска </w:t>
      </w:r>
    </w:p>
    <w:p w14:paraId="4D04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06.08.2026 № 5662-П</w:t>
      </w:r>
    </w:p>
    <w:p w14:paraId="4E040000">
      <w:pPr>
        <w:pStyle w:val="Style_3"/>
        <w:widowControl w:val="0"/>
        <w:spacing w:after="0" w:before="0" w:line="240" w:lineRule="auto"/>
        <w:ind/>
        <w:jc w:val="right"/>
        <w:rPr>
          <w:rFonts w:ascii="PT Astra Serif" w:hAnsi="PT Astra Serif"/>
        </w:rPr>
      </w:pPr>
    </w:p>
    <w:p w14:paraId="4F04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5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к Методике прогнозирования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поступлений доходов,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администрируемых главными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администраторами доходов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бюджета города Магнитогорска,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в бюджет города</w:t>
      </w:r>
    </w:p>
    <w:p w14:paraId="5004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</w:rPr>
      </w:pPr>
    </w:p>
    <w:p w14:paraId="51040000">
      <w:pPr>
        <w:pStyle w:val="Style_8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Методика</w:t>
      </w:r>
      <w:r>
        <w:rPr>
          <w:rFonts w:ascii="PT Astra Serif" w:hAnsi="PT Astra Serif"/>
          <w:b w:val="0"/>
          <w:color w:val="000000"/>
          <w:sz w:val="24"/>
        </w:rPr>
        <w:br/>
      </w:r>
      <w:r>
        <w:rPr>
          <w:rFonts w:ascii="PT Astra Serif" w:hAnsi="PT Astra Serif"/>
          <w:b w:val="0"/>
          <w:color w:val="000000"/>
          <w:sz w:val="24"/>
        </w:rPr>
        <w:t>прогнозирования поступлений доходов, администрируемых главными администраторами доходов бюджета города Магнитогорска, в бюджет города - Управлением культуры администрации города Магнитогорска</w:t>
      </w:r>
    </w:p>
    <w:p w14:paraId="52040000">
      <w:pPr>
        <w:pStyle w:val="Style_3"/>
        <w:widowControl w:val="0"/>
        <w:spacing w:after="0"/>
        <w:ind/>
        <w:rPr>
          <w:rFonts w:ascii="PT Astra Serif" w:hAnsi="PT Astra Serif"/>
          <w:sz w:val="16"/>
        </w:rPr>
      </w:pPr>
    </w:p>
    <w:tbl>
      <w:tblPr>
        <w:tblStyle w:val="Style_4"/>
        <w:tblW w:type="auto" w:w="0"/>
        <w:jc w:val="left"/>
        <w:tblInd w:type="dxa" w:w="-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9"/>
        <w:gridCol w:w="516"/>
        <w:gridCol w:w="912"/>
        <w:gridCol w:w="793"/>
        <w:gridCol w:w="1157"/>
        <w:gridCol w:w="1039"/>
        <w:gridCol w:w="1126"/>
        <w:gridCol w:w="823"/>
        <w:gridCol w:w="2468"/>
      </w:tblGrid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N</w:t>
            </w:r>
          </w:p>
          <w:p w14:paraId="5404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п/п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Код главного администратора доходов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Наименование главного администратора доходов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color w:val="000000"/>
                <w:spacing w:val="0"/>
                <w:sz w:val="16"/>
              </w:rPr>
              <w:t>КБК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Наименование </w:t>
            </w:r>
            <w:r>
              <w:rPr>
                <w:rFonts w:ascii="PT Astra Serif" w:hAnsi="PT Astra Serif"/>
                <w:color w:val="000000"/>
                <w:spacing w:val="0"/>
                <w:sz w:val="16"/>
              </w:rPr>
              <w:t>КБК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доходов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Наименование метода расчета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Формула расчета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Алгоритм расчета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Описание показателей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512 1 11 05034 04 0000 120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прямого расчета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ПДопер = Начисл + 1/5 Дзад +/- Д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ПДопер = Начисл + 1/5 Дзад +/- Д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ПДопер - прогнозируемый объем поступлений доходов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учреждений), в расчетном году;</w:t>
            </w:r>
          </w:p>
          <w:p w14:paraId="6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 по договорам аренды имущества, прогнозируемая к поступлению в расчетном году. Принимается сумма начислений по действующим договорам аренды на момент составления прогноза поступления доходов;</w:t>
            </w:r>
          </w:p>
          <w:p w14:paraId="6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суммы дебиторской задолженности на последнюю отчетную дату прошедшего периода текущего года;</w:t>
            </w:r>
          </w:p>
          <w:p w14:paraId="68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доходов, связанных с заключением (расторжением) договоров, возвратом денежных средств по решению судов, изменением нормативно-правовой базы, регулирующей начисления, в расчетном году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512 1 13 01994 04 0000 130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прямого расчета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Дпл = Ц*Ш*Ксоб 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Дпл = Ц*Ш* Ксоб+Дз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Дпл - прогнозируемый объем поступлений прочих доходов от оказания платных услуг (работ) получателями средств бюджетов городских округов в расчетном году;</w:t>
            </w:r>
          </w:p>
          <w:p w14:paraId="7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 - стоимость услуги (работы) в расчетном году;</w:t>
            </w:r>
          </w:p>
          <w:p w14:paraId="7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Ш - предполагаемое количество оказываемых услуг (работ) в расчетном году;</w:t>
            </w:r>
          </w:p>
          <w:p w14:paraId="7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Ксоб - коэффициент, учитывающего собираемость дохода за отчетный период, который определяется как отношение фактических поступлений к начисленным суммам;</w:t>
            </w:r>
          </w:p>
          <w:p w14:paraId="78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79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 </w:t>
            </w: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512 1 13 02064 04 0000 130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поступления по договорам на возмещение расходов по оплате коммунальных услуг - метод прямого расчета;</w:t>
            </w:r>
          </w:p>
          <w:p w14:paraId="8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Дкомп = (Начисл +/- Д)*К + Дзад</w:t>
            </w:r>
          </w:p>
          <w:p w14:paraId="8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Дкомп = (Начисл +/- Д)*К + Дзад</w:t>
            </w:r>
          </w:p>
          <w:p w14:paraId="88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9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A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B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C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8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Дкомп - прогнозируемый объем поступлений на возмещение расходов по оплате коммунальных услуг в расчетном году;</w:t>
            </w:r>
          </w:p>
          <w:p w14:paraId="8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начислений, ожидаемая к поступлению в расчетном году;</w:t>
            </w:r>
          </w:p>
          <w:p w14:paraId="9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доходов, связанных с заключением новых договоров в расчетном периоде или истечения срока действия ранее заключенных договоров;</w:t>
            </w:r>
          </w:p>
          <w:p w14:paraId="9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 - коэффициент, учитывающий изменение цен на жилищно-коммунальные услуги, согласованный с управлением экономики и инвестиций;</w:t>
            </w:r>
          </w:p>
          <w:p w14:paraId="9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9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сумма дебиторской задолженности на последнюю отчетную дату прошедшего периода текущего года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</w:rPr>
            </w:pP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</w:rPr>
            </w:pP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</w:rPr>
            </w:pP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</w:rPr>
            </w:pP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</w:rPr>
            </w:pP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поступления по прочим договорам на возмещение расходов по оплате услуг по содержанию и ремонту общего имущества, взносов на капитальный ремонт, пультовой охраны, технического обслуживания технических средств охранной сигнализации и других расходов по эксплуатации имущества - метод прямого расчета.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Дкомп пр = Начисл +/- Д + Дзад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Дкомп пр = Начисл +/- Д + Дзад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Дкомп пр - прогнозируемый объем поступлений на возмещение расходов по прочим договорам в расчетном году;</w:t>
            </w:r>
          </w:p>
          <w:p w14:paraId="A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начислений, ожидаемая к поступлению в расчетном году;</w:t>
            </w:r>
          </w:p>
          <w:p w14:paraId="A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доходов, связанных с заключением новых договоров в расчетном периоде или истечения срока действия ранее заключенных договоров;</w:t>
            </w:r>
          </w:p>
          <w:p w14:paraId="A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сумма дебиторской задолженности на последнюю отчетную дату прошедшего периода текущего года</w:t>
            </w:r>
          </w:p>
        </w:tc>
      </w:tr>
      <w:tr>
        <w:trPr>
          <w:trHeight w:hRule="atLeast" w:val="530"/>
        </w:trPr>
        <w:tc>
          <w:tcPr>
            <w:tcW w:type="dxa" w:w="51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4.</w:t>
            </w:r>
          </w:p>
        </w:tc>
        <w:tc>
          <w:tcPr>
            <w:tcW w:type="dxa" w:w="5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</w:t>
            </w:r>
          </w:p>
        </w:tc>
        <w:tc>
          <w:tcPr>
            <w:tcW w:type="dxa" w:w="91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512 1 13 02994 04 0134 130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Прочие доходы от компенсации затрат бюджетов городских округов (прочие доходы от компенсации затрат)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Поступления прочих доходов от   компенсации затрат  бюджета города-  метод усреднения с исключением несистемных поступлений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 Пкомп = 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>- ∑Пнес)/3+Дз</w:t>
            </w:r>
          </w:p>
          <w:p w14:paraId="A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A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Пкомп = 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>- ∑Пнес)/3 +Дз</w:t>
            </w:r>
          </w:p>
          <w:p w14:paraId="B9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A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B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C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B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Пкомп - прогнозируемый объем поступлений в расчетном году;</w:t>
            </w:r>
          </w:p>
          <w:p w14:paraId="C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C8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9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∑</w:t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CA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CB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 </w:t>
            </w: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512 1 13 02994 04 0136 130</w:t>
            </w:r>
          </w:p>
          <w:p w14:paraId="C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Прочие доходы от компенсации затрат бюджетов городских округов (доходы бюджета от возврата дебиторской задолженности прошлых лет)</w:t>
            </w:r>
          </w:p>
          <w:p w14:paraId="C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Поступления доходов от возврата дебиторской задолженности прошлых лет от компенсации затрат местного бюджета-  метод целевого ориентира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= ЦО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= ЦО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- прогнозируемый объем доходов бюджета от возврата дебиторской задолженности прошлых лет;</w:t>
            </w:r>
          </w:p>
          <w:p w14:paraId="D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D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ЦО – ожидаемый результат работы по взысканию задолженности в бюджет города</w:t>
            </w:r>
          </w:p>
        </w:tc>
      </w:tr>
      <w:tr>
        <w:tc>
          <w:tcPr>
            <w:tcW w:type="dxa" w:w="51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512 1 13 02994 04 0234 130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both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Прочие доходы от компенсации затрат бюджетов городских округов (средства от возврата бюджетными и автономными учреждениями субсидий на финансовое обеспечение выполнения муниципального задания)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Поступления прочих доходов от   компенсации затрат  бюджета города-  метод усреднения с исключением несистемных поступлений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Пмз = (П1+П2+П3- ∑Пнес)/3+Дз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Пмз = (П1+П2+П3- ∑Пнес)/3+Дз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Пмз - прогнозируемый объем поступлений в расчетном году;</w:t>
            </w:r>
          </w:p>
          <w:p w14:paraId="DC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D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П1, П2, П3 - фактический объем поступлений за отчетный период;</w:t>
            </w:r>
          </w:p>
          <w:p w14:paraId="D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D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∑</w:t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E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E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512 1 14 02042 04 0000 440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Пимущ =</w:t>
            </w:r>
          </w:p>
          <w:p w14:paraId="E9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rPr>
                <w:sz w:val="22"/>
              </w:rPr>
              <w:drawing>
                <wp:inline>
                  <wp:extent cx="95250" cy="133350"/>
                  <wp:effectExtent b="0" l="0" r="0" t="0"/>
                  <wp:docPr hidden="false" id="79" name="Picture 79"/>
                  <a:graphic>
                    <a:graphicData uri="http://schemas.openxmlformats.org/drawingml/2006/picture">
                      <pic:pic>
                        <pic:nvPicPr>
                          <pic:cNvPr hidden="false" id="80" name="Picture 80"/>
                          <pic:cNvPicPr preferRelativeResize="true"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 flipH="false" flipV="false" rot="0">
                            <a:ext cx="95250" cy="1333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Пимущ =</w:t>
            </w:r>
          </w:p>
          <w:p w14:paraId="EB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rPr>
                <w:sz w:val="22"/>
              </w:rPr>
              <w:drawing>
                <wp:inline>
                  <wp:extent cx="95250" cy="133350"/>
                  <wp:effectExtent b="0" l="0" r="0" t="0"/>
                  <wp:docPr hidden="false" id="81" name="Picture 81"/>
                  <a:graphic>
                    <a:graphicData uri="http://schemas.openxmlformats.org/drawingml/2006/picture">
                      <pic:pic>
                        <pic:nvPicPr>
                          <pic:cNvPr hidden="false" id="82" name="Picture 82"/>
                          <pic:cNvPicPr preferRelativeResize="true"/>
                        </pic:nvPicPr>
                        <pic:blipFill>
                          <a:blip r:embed="rId71"/>
                          <a:stretch/>
                        </pic:blipFill>
                        <pic:spPr>
                          <a:xfrm flipH="false" flipV="false" rot="0">
                            <a:ext cx="95250" cy="1333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Пимущ - прогнозируемый объем поступлений на планируемый период;</w:t>
            </w:r>
          </w:p>
          <w:p w14:paraId="E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E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П 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фактическое поступление за отчетный период;</w:t>
            </w:r>
          </w:p>
          <w:p w14:paraId="E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sz w:val="22"/>
              </w:rPr>
              <w:drawing>
                <wp:inline>
                  <wp:extent cx="95250" cy="135255"/>
                  <wp:effectExtent b="0" l="0" r="0" t="0"/>
                  <wp:docPr hidden="false" id="83" name="Picture 83"/>
                  <a:graphic>
                    <a:graphicData uri="http://schemas.openxmlformats.org/drawingml/2006/picture">
                      <pic:pic>
                        <pic:nvPicPr>
                          <pic:cNvPr hidden="false" id="84" name="Picture 84"/>
                          <pic:cNvPicPr preferRelativeResize="true"/>
                        </pic:nvPicPr>
                        <pic:blipFill>
                          <a:blip r:embed="rId72"/>
                          <a:stretch/>
                        </pic:blipFill>
                        <pic:spPr>
                          <a:xfrm flipH="false" flipV="false" rot="0">
                            <a:ext cx="95250" cy="1352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F0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1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6.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512 1 16 07010 04 0000 140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F9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rPr>
                <w:sz w:val="22"/>
              </w:rPr>
              <w:drawing>
                <wp:inline>
                  <wp:extent cx="94615" cy="129540"/>
                  <wp:effectExtent b="0" l="0" r="0" t="0"/>
                  <wp:docPr hidden="false" id="85" name="Picture 85"/>
                  <a:graphic>
                    <a:graphicData uri="http://schemas.openxmlformats.org/drawingml/2006/picture">
                      <pic:pic>
                        <pic:nvPicPr>
                          <pic:cNvPr hidden="false" id="86" name="Picture 86"/>
                          <pic:cNvPicPr preferRelativeResize="true"/>
                        </pic:nvPicPr>
                        <pic:blipFill>
                          <a:blip r:embed="rId73"/>
                          <a:stretch/>
                        </pic:blipFill>
                        <pic:spPr>
                          <a:xfrm flipH="false" flipV="false" rot="0">
                            <a:ext cx="94615" cy="1295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FB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rPr>
                <w:sz w:val="22"/>
              </w:rPr>
              <w:drawing>
                <wp:inline>
                  <wp:extent cx="94615" cy="129540"/>
                  <wp:effectExtent b="0" l="0" r="0" t="0"/>
                  <wp:docPr hidden="false" id="87" name="Picture 87"/>
                  <a:graphic>
                    <a:graphicData uri="http://schemas.openxmlformats.org/drawingml/2006/picture">
                      <pic:pic>
                        <pic:nvPicPr>
                          <pic:cNvPr hidden="false" id="88" name="Picture 88"/>
                          <pic:cNvPicPr preferRelativeResize="true"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 flipH="false" flipV="false" rot="0">
                            <a:ext cx="94615" cy="1295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FD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FE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П 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FF04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0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sz w:val="22"/>
              </w:rPr>
              <w:drawing>
                <wp:inline>
                  <wp:extent cx="95250" cy="127000"/>
                  <wp:effectExtent b="0" l="0" r="0" t="0"/>
                  <wp:docPr hidden="false" id="89" name="Picture 89"/>
                  <a:graphic>
                    <a:graphicData uri="http://schemas.openxmlformats.org/drawingml/2006/picture">
                      <pic:pic>
                        <pic:nvPicPr>
                          <pic:cNvPr hidden="false" id="90" name="Picture 90"/>
                          <pic:cNvPicPr preferRelativeResize="true"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 flipH="false" flipV="false" rot="0">
                            <a:ext cx="95250" cy="127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01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2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 </w:t>
            </w: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7.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512 1 16 070</w:t>
            </w:r>
          </w:p>
          <w:p w14:paraId="07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90 04 0000 140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0B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rPr>
                <w:sz w:val="22"/>
              </w:rPr>
              <w:drawing>
                <wp:inline>
                  <wp:extent cx="95250" cy="133350"/>
                  <wp:effectExtent b="0" l="0" r="0" t="0"/>
                  <wp:docPr hidden="false" id="91" name="Picture 91"/>
                  <a:graphic>
                    <a:graphicData uri="http://schemas.openxmlformats.org/drawingml/2006/picture">
                      <pic:pic>
                        <pic:nvPicPr>
                          <pic:cNvPr hidden="false" id="92" name="Picture 92"/>
                          <pic:cNvPicPr preferRelativeResize="true"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 flipH="false" flipV="false" rot="0">
                            <a:ext cx="95250" cy="1333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0D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rPr>
                <w:sz w:val="22"/>
              </w:rPr>
              <w:drawing>
                <wp:inline>
                  <wp:extent cx="95250" cy="133350"/>
                  <wp:effectExtent b="0" l="0" r="0" t="0"/>
                  <wp:docPr hidden="false" id="93" name="Picture 93"/>
                  <a:graphic>
                    <a:graphicData uri="http://schemas.openxmlformats.org/drawingml/2006/picture">
                      <pic:pic>
                        <pic:nvPicPr>
                          <pic:cNvPr hidden="false" id="94" name="Picture 94"/>
                          <pic:cNvPicPr preferRelativeResize="true"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 flipH="false" flipV="false" rot="0">
                            <a:ext cx="95250" cy="1333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0F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0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П 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11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2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sz w:val="22"/>
              </w:rPr>
              <w:drawing>
                <wp:inline>
                  <wp:extent cx="95250" cy="135255"/>
                  <wp:effectExtent b="0" l="0" r="0" t="0"/>
                  <wp:docPr hidden="false" id="95" name="Picture 95"/>
                  <a:graphic>
                    <a:graphicData uri="http://schemas.openxmlformats.org/drawingml/2006/picture">
                      <pic:pic>
                        <pic:nvPicPr>
                          <pic:cNvPr hidden="false" id="96" name="Picture 96"/>
                          <pic:cNvPicPr preferRelativeResize="true"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 flipH="false" flipV="false" rot="0">
                            <a:ext cx="95250" cy="1352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13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14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 </w:t>
            </w: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8.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507 1 16 10061 04 0000 140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</w:t>
            </w:r>
            <w:r>
              <w:rPr>
                <w:rFonts w:ascii="PT Astra Serif" w:hAnsi="PT Astra Serif"/>
                <w:spacing w:val="0"/>
                <w:sz w:val="16"/>
              </w:rPr>
              <w:fldChar w:fldCharType="begin"/>
            </w:r>
            <w:r>
              <w:rPr>
                <w:rFonts w:ascii="PT Astra Serif" w:hAnsi="PT Astra Serif"/>
                <w:spacing w:val="0"/>
                <w:sz w:val="16"/>
              </w:rPr>
              <w:instrText>HYPERLINK "https://internet.garant.ru/document/redirect/70353464/0"</w:instrText>
            </w:r>
            <w:r>
              <w:rPr>
                <w:rFonts w:ascii="PT Astra Serif" w:hAnsi="PT Astra Serif"/>
                <w:spacing w:val="0"/>
                <w:sz w:val="16"/>
              </w:rPr>
              <w:fldChar w:fldCharType="separate"/>
            </w:r>
            <w:r>
              <w:rPr>
                <w:rFonts w:ascii="PT Astra Serif" w:hAnsi="PT Astra Serif"/>
                <w:spacing w:val="0"/>
                <w:sz w:val="16"/>
              </w:rPr>
              <w:t>законодательства</w:t>
            </w:r>
            <w:r>
              <w:rPr>
                <w:rFonts w:ascii="PT Astra Serif" w:hAnsi="PT Astra Serif"/>
                <w:spacing w:val="0"/>
                <w:sz w:val="16"/>
              </w:rPr>
              <w:fldChar w:fldCharType="end"/>
            </w:r>
            <w:r>
              <w:rPr>
                <w:rFonts w:ascii="PT Astra Serif" w:hAnsi="PT Astra Serif"/>
                <w:spacing w:val="0"/>
                <w:sz w:val="16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1C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rPr>
                <w:sz w:val="22"/>
              </w:rPr>
              <w:drawing>
                <wp:inline>
                  <wp:extent cx="95250" cy="133350"/>
                  <wp:effectExtent b="0" l="0" r="0" t="0"/>
                  <wp:docPr hidden="false" id="97" name="Picture 97"/>
                  <a:graphic>
                    <a:graphicData uri="http://schemas.openxmlformats.org/drawingml/2006/picture">
                      <pic:pic>
                        <pic:nvPicPr>
                          <pic:cNvPr hidden="false" id="98" name="Picture 98"/>
                          <pic:cNvPicPr preferRelativeResize="true"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 flipH="false" flipV="false" rot="0">
                            <a:ext cx="95250" cy="1333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1E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rPr>
                <w:sz w:val="22"/>
              </w:rPr>
              <w:drawing>
                <wp:inline>
                  <wp:extent cx="95250" cy="133350"/>
                  <wp:effectExtent b="0" l="0" r="0" t="0"/>
                  <wp:docPr hidden="false" id="99" name="Picture 99"/>
                  <a:graphic>
                    <a:graphicData uri="http://schemas.openxmlformats.org/drawingml/2006/picture">
                      <pic:pic>
                        <pic:nvPicPr>
                          <pic:cNvPr hidden="false" id="100" name="Picture 100"/>
                          <pic:cNvPicPr preferRelativeResize="true"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 flipH="false" flipV="false" rot="0">
                            <a:ext cx="95250" cy="1333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20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1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П 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22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3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sz w:val="22"/>
              </w:rPr>
              <w:drawing>
                <wp:inline>
                  <wp:extent cx="95250" cy="135255"/>
                  <wp:effectExtent b="0" l="0" r="0" t="0"/>
                  <wp:docPr hidden="false" id="101" name="Picture 101"/>
                  <a:graphic>
                    <a:graphicData uri="http://schemas.openxmlformats.org/drawingml/2006/picture">
                      <pic:pic>
                        <pic:nvPicPr>
                          <pic:cNvPr hidden="false" id="102" name="Picture 102"/>
                          <pic:cNvPicPr preferRelativeResize="true"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 flipH="false" flipV="false" rot="0">
                            <a:ext cx="95250" cy="1352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24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5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 </w:t>
            </w: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9.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512 1 16 10123 01 0041 140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 от денежных взысканий (штрафов), поступающие в счет погашения задолженности, образовавшейся                                    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2D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rPr>
                <w:sz w:val="22"/>
              </w:rPr>
              <w:drawing>
                <wp:inline>
                  <wp:extent cx="95250" cy="133350"/>
                  <wp:effectExtent b="0" l="0" r="0" t="0"/>
                  <wp:docPr hidden="false" id="103" name="Picture 103"/>
                  <a:graphic>
                    <a:graphicData uri="http://schemas.openxmlformats.org/drawingml/2006/picture">
                      <pic:pic>
                        <pic:nvPicPr>
                          <pic:cNvPr hidden="false" id="104" name="Picture 104"/>
                          <pic:cNvPicPr preferRelativeResize="true"/>
                        </pic:nvPicPr>
                        <pic:blipFill>
                          <a:blip r:embed="rId82"/>
                          <a:stretch/>
                        </pic:blipFill>
                        <pic:spPr>
                          <a:xfrm flipH="false" flipV="false" rot="0">
                            <a:ext cx="95250" cy="1333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2F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rPr>
                <w:sz w:val="22"/>
              </w:rPr>
              <w:drawing>
                <wp:inline>
                  <wp:extent cx="95250" cy="133350"/>
                  <wp:effectExtent b="0" l="0" r="0" t="0"/>
                  <wp:docPr hidden="false" id="105" name="Picture 105"/>
                  <a:graphic>
                    <a:graphicData uri="http://schemas.openxmlformats.org/drawingml/2006/picture">
                      <pic:pic>
                        <pic:nvPicPr>
                          <pic:cNvPr hidden="false" id="106" name="Picture 106"/>
                          <pic:cNvPicPr preferRelativeResize="true"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 flipH="false" flipV="false" rot="0">
                            <a:ext cx="95250" cy="1333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31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2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П 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 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33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4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sz w:val="22"/>
              </w:rPr>
              <w:drawing>
                <wp:inline>
                  <wp:extent cx="95250" cy="135255"/>
                  <wp:effectExtent b="0" l="0" r="0" t="0"/>
                  <wp:docPr hidden="false" id="107" name="Picture 107"/>
                  <a:graphic>
                    <a:graphicData uri="http://schemas.openxmlformats.org/drawingml/2006/picture">
                      <pic:pic>
                        <pic:nvPicPr>
                          <pic:cNvPr hidden="false" id="108" name="Picture 108"/>
                          <pic:cNvPicPr preferRelativeResize="true"/>
                        </pic:nvPicPr>
                        <pic:blipFill>
                          <a:blip r:embed="rId84"/>
                          <a:stretch/>
                        </pic:blipFill>
                        <pic:spPr>
                          <a:xfrm flipH="false" flipV="false" rot="0">
                            <a:ext cx="95250" cy="1352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35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36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 </w:t>
            </w: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10.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512 1 17 01040 04 0000 180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целевого ориентира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Пев = ЦО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Пнев = ЦО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Пнев - прогнозируемый объем невыясненных поступлений, зачисляемых в бюджеты городских округов, в расчетном году;</w:t>
            </w:r>
          </w:p>
          <w:p w14:paraId="40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1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ЦО - целевой ориентир поступления в бюджет города невыясненных платежей.</w:t>
            </w:r>
          </w:p>
          <w:p w14:paraId="42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 невыясненным поступлениям относятся платежи, по которым расчетные документы заполнены с нарушениями установленного порядка.</w:t>
            </w:r>
          </w:p>
          <w:p w14:paraId="43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Данный вид дохода служит для уточнения по назначению невыясненных платежей, зачисляемых в бюджет города. Показатель целевого ориентира (ЦО) устанавливается в размере 0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11.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512 117 15020 04 0000 150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Инициативные платежи, зачисляемые в бюджеты городских округов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(в том числе с применением простой средней или скользящей средней)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Пинпл = 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>-</w:t>
            </w:r>
            <w:r>
              <w:rPr>
                <w:sz w:val="22"/>
              </w:rPr>
              <w:drawing>
                <wp:inline>
                  <wp:extent cx="76200" cy="133350"/>
                  <wp:effectExtent b="0" l="0" r="0" t="0"/>
                  <wp:docPr hidden="false" id="109" name="Picture 109"/>
                  <a:graphic>
                    <a:graphicData uri="http://schemas.openxmlformats.org/drawingml/2006/picture">
                      <pic:pic>
                        <pic:nvPicPr>
                          <pic:cNvPr hidden="false" id="110" name="Picture 110"/>
                          <pic:cNvPicPr preferRelativeResize="true"/>
                        </pic:nvPicPr>
                        <pic:blipFill>
                          <a:blip r:embed="rId85"/>
                          <a:stretch/>
                        </pic:blipFill>
                        <pic:spPr>
                          <a:xfrm flipH="false" flipV="false" rot="0">
                            <a:ext cx="76200" cy="1333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Пнес)/3+Дз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Пинпл = 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>-</w:t>
            </w:r>
            <w:r>
              <w:rPr>
                <w:sz w:val="22"/>
              </w:rPr>
              <w:drawing>
                <wp:inline>
                  <wp:extent cx="76200" cy="133350"/>
                  <wp:effectExtent b="0" l="0" r="0" t="0"/>
                  <wp:docPr hidden="false" id="111" name="Picture 111"/>
                  <a:graphic>
                    <a:graphicData uri="http://schemas.openxmlformats.org/drawingml/2006/picture">
                      <pic:pic>
                        <pic:nvPicPr>
                          <pic:cNvPr hidden="false" id="112" name="Picture 112"/>
                          <pic:cNvPicPr preferRelativeResize="true"/>
                        </pic:nvPicPr>
                        <pic:blipFill>
                          <a:blip r:embed="rId86"/>
                          <a:stretch/>
                        </pic:blipFill>
                        <pic:spPr>
                          <a:xfrm flipH="false" flipV="false" rot="0">
                            <a:ext cx="76200" cy="1333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Пнес)/3 +Дз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Пинпл - прогнозируемый объем поступлений на планируемый период;</w:t>
            </w:r>
          </w:p>
          <w:p w14:paraId="4D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4E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фактическое поступление за 3 года, предшествующее текущему году, или за весь период поступления соответствующего вида доходов в случае, если он не превышает 3 года;</w:t>
            </w:r>
          </w:p>
          <w:p w14:paraId="4F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0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sz w:val="22"/>
              </w:rPr>
              <w:drawing>
                <wp:inline>
                  <wp:extent cx="79375" cy="135255"/>
                  <wp:effectExtent b="0" l="0" r="0" t="0"/>
                  <wp:docPr hidden="false" id="113" name="Picture 113"/>
                  <a:graphic>
                    <a:graphicData uri="http://schemas.openxmlformats.org/drawingml/2006/picture">
                      <pic:pic>
                        <pic:nvPicPr>
                          <pic:cNvPr hidden="false" id="114" name="Picture 114"/>
                          <pic:cNvPicPr preferRelativeResize="true"/>
                        </pic:nvPicPr>
                        <pic:blipFill>
                          <a:blip r:embed="rId87"/>
                          <a:stretch/>
                        </pic:blipFill>
                        <pic:spPr>
                          <a:xfrm flipH="false" flipV="false" rot="0">
                            <a:ext cx="79375" cy="1352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3 года, предшествующих текущему году, или за весь период поступления соответствующего вида доходов в случае, если он не превышает 3 года;</w:t>
            </w:r>
          </w:p>
          <w:p w14:paraId="51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2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 </w:t>
            </w: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12.</w:t>
            </w:r>
          </w:p>
        </w:tc>
        <w:tc>
          <w:tcPr>
            <w:tcW w:type="dxa" w:w="5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512 202 00000 00 0000 000</w:t>
            </w:r>
          </w:p>
        </w:tc>
        <w:tc>
          <w:tcPr>
            <w:tcW w:type="dxa" w:w="11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type="dxa" w:w="10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целевого ориентира</w:t>
            </w:r>
          </w:p>
        </w:tc>
        <w:tc>
          <w:tcPr>
            <w:tcW w:type="dxa" w:w="1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Бп =ЦО</w:t>
            </w:r>
          </w:p>
        </w:tc>
        <w:tc>
          <w:tcPr>
            <w:tcW w:type="dxa" w:w="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Бп =ЦО</w:t>
            </w:r>
          </w:p>
        </w:tc>
        <w:tc>
          <w:tcPr>
            <w:tcW w:type="dxa" w:w="24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Бп - прогнозируемый объем безвозмездных поступлений от других бюджетов бюджетной системы Российской Федерации в расчетном году;</w:t>
            </w:r>
          </w:p>
          <w:p w14:paraId="5C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5D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ЦО - целевой ориентир.</w:t>
            </w:r>
          </w:p>
          <w:p w14:paraId="5E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За целевой ориентир принимаются утвержденные в текущем году плановые показатели по безвозмездным поступлениям от других бюджетов бюджетной системы Российской Федерации на расчетный год и плановый период</w:t>
            </w:r>
          </w:p>
          <w:p w14:paraId="5F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</w:tc>
      </w:tr>
    </w:tbl>
    <w:p w14:paraId="60050000">
      <w:pPr>
        <w:pStyle w:val="Style_3"/>
        <w:widowControl w:val="0"/>
        <w:spacing w:after="0" w:before="0" w:line="240" w:lineRule="auto"/>
        <w:ind/>
        <w:jc w:val="right"/>
        <w:rPr>
          <w:rFonts w:ascii="PT Astra Serif" w:hAnsi="PT Astra Serif"/>
        </w:rPr>
      </w:pPr>
    </w:p>
    <w:p w14:paraId="61050000">
      <w:pPr>
        <w:pStyle w:val="Style_3"/>
        <w:widowControl w:val="0"/>
        <w:spacing w:after="0" w:before="0" w:line="240" w:lineRule="auto"/>
        <w:ind/>
        <w:jc w:val="right"/>
        <w:rPr>
          <w:rFonts w:ascii="PT Astra Serif" w:hAnsi="PT Astra Serif"/>
        </w:rPr>
      </w:pPr>
    </w:p>
    <w:p w14:paraId="62050000">
      <w:pPr>
        <w:sectPr>
          <w:headerReference r:id="rId9" w:type="default"/>
          <w:headerReference r:id="rId17" w:type="first"/>
          <w:headerReference r:id="rId23" w:type="even"/>
          <w:footerReference r:id="rId10" w:type="default"/>
          <w:footerReference r:id="rId18" w:type="first"/>
          <w:footerReference r:id="rId24" w:type="even"/>
          <w:type w:val="nextPage"/>
          <w:pgSz w:h="16838" w:orient="portrait" w:w="11906"/>
          <w:pgMar w:bottom="1134" w:footer="709" w:gutter="0" w:header="709" w:left="1701" w:right="851" w:top="1134"/>
          <w:pgNumType w:fmt="decimal" w:start="1"/>
          <w:titlePg/>
        </w:sectPr>
      </w:pPr>
    </w:p>
    <w:p w14:paraId="6305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4</w:t>
      </w:r>
    </w:p>
    <w:p w14:paraId="6405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6505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города Магнитогорска </w:t>
      </w:r>
    </w:p>
    <w:p w14:paraId="6605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06.08.2026 № 5662-П</w:t>
      </w:r>
    </w:p>
    <w:p w14:paraId="67050000">
      <w:pPr>
        <w:pStyle w:val="Style_3"/>
        <w:widowControl w:val="0"/>
        <w:spacing w:after="0" w:before="0" w:line="240" w:lineRule="auto"/>
        <w:ind/>
        <w:jc w:val="right"/>
        <w:rPr>
          <w:rFonts w:ascii="PT Astra Serif" w:hAnsi="PT Astra Serif"/>
        </w:rPr>
      </w:pPr>
    </w:p>
    <w:p w14:paraId="6805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  <w:bookmarkStart w:id="3" w:name="_GoBack"/>
      <w:bookmarkEnd w:id="3"/>
    </w:p>
    <w:p w14:paraId="6905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8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к Методике прогнозирования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поступлений доходов,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администрируемых главными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администраторами доходов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бюджета города Магнитогорска,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в бюджет города</w:t>
      </w:r>
    </w:p>
    <w:p w14:paraId="6A05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</w:rPr>
      </w:pPr>
    </w:p>
    <w:p w14:paraId="6B050000">
      <w:pPr>
        <w:pStyle w:val="Style_8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Методика</w:t>
      </w:r>
      <w:r>
        <w:rPr>
          <w:rFonts w:ascii="PT Astra Serif" w:hAnsi="PT Astra Serif"/>
          <w:b w:val="0"/>
          <w:color w:val="000000"/>
          <w:sz w:val="24"/>
        </w:rPr>
        <w:br/>
      </w:r>
      <w:r>
        <w:rPr>
          <w:rFonts w:ascii="PT Astra Serif" w:hAnsi="PT Astra Serif"/>
          <w:b w:val="0"/>
          <w:color w:val="000000"/>
          <w:sz w:val="24"/>
        </w:rPr>
        <w:t>прогнозирования поступлений доходов, администрируемых главными администраторами доходов бюджета города Магнитогорска, в бюджет города - Управлением транспорта и коммунального хозяйства администрации города Магнитогорска</w:t>
      </w:r>
    </w:p>
    <w:p w14:paraId="6C050000">
      <w:pPr>
        <w:pStyle w:val="Style_3"/>
        <w:widowControl w:val="0"/>
        <w:spacing w:after="0"/>
        <w:ind/>
        <w:rPr>
          <w:sz w:val="16"/>
        </w:rPr>
      </w:pPr>
    </w:p>
    <w:tbl>
      <w:tblPr>
        <w:tblStyle w:val="Style_4"/>
        <w:tblW w:type="auto" w:w="0"/>
        <w:jc w:val="left"/>
        <w:tblInd w:type="dxa" w:w="-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4"/>
        <w:gridCol w:w="453"/>
        <w:gridCol w:w="1004"/>
        <w:gridCol w:w="776"/>
        <w:gridCol w:w="1135"/>
        <w:gridCol w:w="1114"/>
        <w:gridCol w:w="1047"/>
        <w:gridCol w:w="907"/>
        <w:gridCol w:w="2433"/>
      </w:tblGrid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N</w:t>
            </w:r>
          </w:p>
          <w:p w14:paraId="6E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п/п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Код главного администратора доходов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Наименование главного администратора доходов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КБК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Наименование КБК доходов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Наименование метода расчета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Формула расчета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Алгоритм расчета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Описание показателей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521 1 11 09044 04 0329 120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(размещение кабеля ВОЛС на существующих опорах линий электропередач)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Поступления по договорам на услуги по размещению кабеля волоконно-оптической линии связи (далее - ВОЛС) на существующих опорах линий электропередач - метод прямого расчета</w:t>
            </w:r>
          </w:p>
          <w:p w14:paraId="7D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ПДопер = Начисл + 1/5 Дзад +/- Д</w:t>
            </w:r>
          </w:p>
          <w:p w14:paraId="7F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ПДопер = Начисл + 1/5 Дзад +/- Д</w:t>
            </w:r>
          </w:p>
          <w:p w14:paraId="81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ПДопер - прогнозируемый объем поступлений по договорам на услуги по размещению кабеля ВОЛС на существующих опорах линий электропередач в расчетном году;</w:t>
            </w:r>
          </w:p>
          <w:p w14:paraId="83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84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 по договорам на услуги по размещению кабеля ВОЛС на существующих опорах линий электропередач, прогнозируемая к поступлению в расчетном году. Принимается сумма начислений по действующим договорам аренды на момент составления прогноза поступления доходов;</w:t>
            </w:r>
          </w:p>
          <w:p w14:paraId="85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86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сумма дебиторской задолженности на последнюю отчетную дату прошедшего периода текущего года;</w:t>
            </w:r>
          </w:p>
          <w:p w14:paraId="87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88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доходов, связанных с заключением (расторжением) договоров, возвратом денежных средств по решению судов, изменением нормативно-правовой базы, регулирующей начисления, в расчетном году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521 1 13 01994 04 0000 130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прямого расчета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Дпл = Ц*Ш*Ксоб 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Дпл = Ц*Ш* Ксоб+Дз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Дпл - прогнозируемый объем поступлений прочих доходов от оказания платных услуг (работ) получателями средств бюджетов городских округов в расчетном году;</w:t>
            </w:r>
          </w:p>
          <w:p w14:paraId="92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93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 - стоимость услуги (работы) в расчетном году;</w:t>
            </w:r>
          </w:p>
          <w:p w14:paraId="94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95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Ш - предполагаемое количество оказываемых услуг (работ) в расчетном году;</w:t>
            </w:r>
          </w:p>
          <w:p w14:paraId="96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97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Ксоб - коэффициент, учитывающего собираемость дохода за отчетный период, который определяется как отношение фактических поступлений к начисленным суммам;</w:t>
            </w:r>
          </w:p>
          <w:p w14:paraId="98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99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3.</w:t>
            </w:r>
          </w:p>
        </w:tc>
        <w:tc>
          <w:tcPr>
            <w:tcW w:type="dxa" w:w="45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521 1 13 02064 04 0000 130</w:t>
            </w:r>
          </w:p>
        </w:tc>
        <w:tc>
          <w:tcPr>
            <w:tcW w:type="dxa" w:w="113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поступления по договорам на возмещение расходов по оплате коммунальных услуг - метод прямого расчета;</w:t>
            </w:r>
          </w:p>
          <w:p w14:paraId="A0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Дкомп = (Начисл +/- Д)*К + Дзад</w:t>
            </w:r>
          </w:p>
          <w:p w14:paraId="A2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Дкомп = (Начисл +/- Д)*К + Дзад</w:t>
            </w:r>
          </w:p>
          <w:p w14:paraId="A4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Дкомп - прогнозируемый объем поступлений на возмещение расходов по оплате коммунальных услуг в расчетном году;</w:t>
            </w:r>
          </w:p>
          <w:p w14:paraId="A6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A7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начислений, ожидаемая к поступлению в расчетном году;</w:t>
            </w:r>
          </w:p>
          <w:p w14:paraId="A8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A9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доходов, связанных с заключением новых договоров в расчетном периоде или истечения срока действия ранее заключенных договоров;</w:t>
            </w:r>
          </w:p>
          <w:p w14:paraId="AA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AB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 - коэффициент, учитывающий изменение цен на жилищно-коммунальные услуги, согласованный с управлением экономики и инвестиций;</w:t>
            </w:r>
          </w:p>
          <w:p w14:paraId="AC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AD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сумма дебиторской задолженности на последнюю отчетную дату прошедшего периода текущего года</w:t>
            </w:r>
          </w:p>
        </w:tc>
      </w:tr>
      <w:tr>
        <w:tc>
          <w:tcPr>
            <w:tcW w:type="dxa" w:w="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5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7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поступления по прочим договорам на возмещение расходов по оплате услуг по содержанию и ремонту общего имущества, взносов на капитальный ремонт, пультовой охраны, технического обслуживания технических средств охранной сигнализации и других расходов по эксплуатации имущества - метод прямого расчета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Дкомп пр = Начисл +/- Д + Дзад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Дкомп пр = Начисл +/- Д + Дзад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Дкомп пр - прогнозируемый объем поступлений на возмещение расходов по прочим договорам в расчетном году;</w:t>
            </w:r>
          </w:p>
          <w:p w14:paraId="B2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B3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начислений, ожидаемая к поступлению в расчетном году;</w:t>
            </w:r>
          </w:p>
          <w:p w14:paraId="B4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B5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доходов, связанных с заключением новых договоров в расчетном периоде или истечения срока действия ранее заключенных договоров;</w:t>
            </w:r>
          </w:p>
          <w:p w14:paraId="B6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B7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сумма дебиторской задолженности на последнюю отчетную дату прошедшего периода текущего года</w:t>
            </w:r>
          </w:p>
        </w:tc>
      </w:tr>
      <w:tr>
        <w:tc>
          <w:tcPr>
            <w:tcW w:type="dxa" w:w="48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bookmarkStart w:id="4" w:name="sub_1039"/>
            <w:r>
              <w:rPr>
                <w:rFonts w:ascii="PT Astra Serif" w:hAnsi="PT Astra Serif"/>
                <w:spacing w:val="0"/>
                <w:sz w:val="16"/>
              </w:rPr>
              <w:t>4.</w:t>
            </w:r>
            <w:bookmarkEnd w:id="4"/>
          </w:p>
        </w:tc>
        <w:tc>
          <w:tcPr>
            <w:tcW w:type="dxa" w:w="45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521 1 13 02994 04 0134 130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Прочие доходы от компенсации затрат бюджетов городских округов (прочие доходы от компенсации затрат)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Поступления прочих доходов от компенсации затрат бюджета города - 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Пкомп = (П1 + П2 + П3 - Пнес) /3 +Дз</w:t>
            </w:r>
          </w:p>
          <w:p w14:paraId="BF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Пкомп = (П1 + П2 + П3 - Пнес) /3 +Дз</w:t>
            </w:r>
          </w:p>
          <w:p w14:paraId="C1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1) Пкомп - прогнозируемый объем поступлений в расчетном году;</w:t>
            </w:r>
          </w:p>
          <w:p w14:paraId="C3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C4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 1, П 2, П 3 - фактический объем поступлений за отчетный период;</w:t>
            </w:r>
          </w:p>
          <w:p w14:paraId="C5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C6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115" name="Picture 115"/>
                  <a:graphic>
                    <a:graphicData uri="http://schemas.openxmlformats.org/drawingml/2006/picture">
                      <pic:pic>
                        <pic:nvPicPr>
                          <pic:cNvPr hidden="false" id="116" name="Picture 116"/>
                          <pic:cNvPicPr preferRelativeResize="true"/>
                        </pic:nvPicPr>
                        <pic:blipFill>
                          <a:blip r:embed="rId88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C7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C8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доходам.</w:t>
            </w:r>
          </w:p>
        </w:tc>
      </w:tr>
      <w:tr>
        <w:tc>
          <w:tcPr>
            <w:tcW w:type="dxa" w:w="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5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521 1 13 02994 04 0136 130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Прочие доходы от компенсации затрат бюджетов городских округов (доходы бюджета от возврата дебиторской задолженности прошлых лет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Поступления доходов от возврата дебиторской задолженности прошлых лет от компенсации затрат местного бюджета - метод целевого ориентира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= ЦО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= ЦО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2) Пдеб - прогнозируемый объем доходов бюджета от возврата дебиторской задолженности прошлых лет;</w:t>
            </w:r>
          </w:p>
          <w:p w14:paraId="CF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D0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ЦО - ожидаемый результат работы по взысканию задолженности в бюджет города</w:t>
            </w:r>
          </w:p>
        </w:tc>
      </w:tr>
      <w:tr>
        <w:tc>
          <w:tcPr>
            <w:tcW w:type="dxa" w:w="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5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521 1 13 02994 04 0434 130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Прочие доходы от компенсации затрат бюджетов городских округов (доходы от возмещения затрат за услуги по погребению)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Поступление доходов от возмещения затрат за услуги по погребению - метод прямого расчета.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Пз = К*С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В расчете применяется показатель К - прогнозируемое количество захоронений, принимаемый равным среднему значению за три года, предшествующих текущему году.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3) Пз - прогнозируемый объем поступлений на планируемый период;</w:t>
            </w:r>
          </w:p>
          <w:p w14:paraId="D7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D8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 - прогнозируемое количество захоронений в расчетном году;</w:t>
            </w:r>
          </w:p>
          <w:p w14:paraId="D9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DA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С - стоимость услуг по погребению, утвержденная нормативно-правовым актом города Магнитогорска</w:t>
            </w:r>
          </w:p>
        </w:tc>
      </w:tr>
      <w:tr>
        <w:tc>
          <w:tcPr>
            <w:tcW w:type="dxa" w:w="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5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4) 521 1 13 02994 04 0534 130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4) Прочие доходы от компенсации затрат бюджетов городских округов (доходы от возмещения затрат за перемещение СИМ)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4) Поступление доходов от возмещения затрат за перемещение СИМ - 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4) Псим = (П1 + П2 + П3 - Пнес) /3 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4) Псим = (П1 + П2 + П3 - 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4) Псим - прогнозируемый объем поступлений в расчетном году доходов от возмещения затрат за перемещение средств индивидуальной мобильности;</w:t>
            </w:r>
          </w:p>
          <w:p w14:paraId="E1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E2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 1, П 2, П 3 - фактический объем поступлений за отчетный период;</w:t>
            </w:r>
          </w:p>
          <w:p w14:paraId="E3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E4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117" name="Picture 117"/>
                  <a:graphic>
                    <a:graphicData uri="http://schemas.openxmlformats.org/drawingml/2006/picture">
                      <pic:pic>
                        <pic:nvPicPr>
                          <pic:cNvPr hidden="false" id="118" name="Picture 118"/>
                          <pic:cNvPicPr preferRelativeResize="true"/>
                        </pic:nvPicPr>
                        <pic:blipFill>
                          <a:blip r:embed="rId89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</w:t>
            </w:r>
          </w:p>
          <w:p w14:paraId="E5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E6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  <w:highlight w:val="yellow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521 1 14 02042 04 0000 410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прямого расчета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ПДобтс = Начисл+/- Д+Дз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ПДобтс = Начисл+/- Д+Дз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ПДобтс - прогнозируемый объем поступлений доходов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имуществу;</w:t>
            </w:r>
          </w:p>
          <w:p w14:paraId="F0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F1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начислений, ожидаемая к поступлению в расчетном году. Принимается сумма начислений за прошедший период текущего года;</w:t>
            </w:r>
          </w:p>
          <w:p w14:paraId="F2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F3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 в связи с несистемным характером поступлений;</w:t>
            </w:r>
          </w:p>
          <w:p w14:paraId="F405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F505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6.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521 1 14 02043 04 0000 410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прямого расчета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Прми2 = Начисл +1/5 Дзад +/- Д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Прми2 = Начисл +1/5 Дзад +/- Д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Прми2 - прогнозируемый объем поступлений от продажи муниципального имущества субъектам малого и среднего предпринимательства в расчетном году;</w:t>
            </w:r>
          </w:p>
          <w:p w14:paraId="FF05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0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начислений, прогнозируемая к поступлению в расчетном году. Принимается сумма начислений по действующим договорам на момент составления прогноза поступления доходов;</w:t>
            </w:r>
          </w:p>
          <w:p w14:paraId="01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2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сумма дебиторской задолженности на последнюю отчетную дату прошедшего периода текущего года;</w:t>
            </w:r>
          </w:p>
          <w:p w14:paraId="03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04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суммы прогнозируемых дополнительных (выпадающих) доходов, связанных с заключением (расторжением) договоров, изменением нормативно-правовой базы, регулирующей начисления в расчетном году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7.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521 1 14 02042 04 0000 440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Пимущ =</w:t>
            </w:r>
          </w:p>
          <w:p w14:paraId="0C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19" name="Picture 119"/>
                  <a:graphic>
                    <a:graphicData uri="http://schemas.openxmlformats.org/drawingml/2006/picture">
                      <pic:pic>
                        <pic:nvPicPr>
                          <pic:cNvPr hidden="false" id="120" name="Picture 120"/>
                          <pic:cNvPicPr preferRelativeResize="true"/>
                        </pic:nvPicPr>
                        <pic:blipFill>
                          <a:blip r:embed="rId90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Пимущ =</w:t>
            </w:r>
          </w:p>
          <w:p w14:paraId="0E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>-</w:t>
            </w:r>
            <w:r>
              <w:drawing>
                <wp:inline>
                  <wp:extent cx="121285" cy="161290"/>
                  <wp:effectExtent b="0" l="0" r="0" t="0"/>
                  <wp:docPr hidden="false" id="121" name="Picture 121"/>
                  <a:graphic>
                    <a:graphicData uri="http://schemas.openxmlformats.org/drawingml/2006/picture">
                      <pic:pic>
                        <pic:nvPicPr>
                          <pic:cNvPr hidden="false" id="122" name="Picture 122"/>
                          <pic:cNvPicPr preferRelativeResize="true"/>
                        </pic:nvPicPr>
                        <pic:blipFill>
                          <a:blip r:embed="rId91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Пимущ - прогнозируемый объем поступлений на планируемый период;</w:t>
            </w:r>
          </w:p>
          <w:p w14:paraId="10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11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фактическое поступление за отчетный период;</w:t>
            </w:r>
          </w:p>
          <w:p w14:paraId="12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13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123" name="Picture 123"/>
                  <a:graphic>
                    <a:graphicData uri="http://schemas.openxmlformats.org/drawingml/2006/picture">
                      <pic:pic>
                        <pic:nvPicPr>
                          <pic:cNvPr hidden="false" id="124" name="Picture 124"/>
                          <pic:cNvPicPr preferRelativeResize="true"/>
                        </pic:nvPicPr>
                        <pic:blipFill>
                          <a:blip r:embed="rId92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14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15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8.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521 1 14 02043 04 0000 440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Пимущ =</w:t>
            </w:r>
          </w:p>
          <w:p w14:paraId="1D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rPr>
                <w:sz w:val="22"/>
              </w:rPr>
              <w:drawing>
                <wp:inline>
                  <wp:extent cx="66675" cy="104775"/>
                  <wp:effectExtent b="0" l="0" r="0" t="0"/>
                  <wp:docPr hidden="false" id="125" name="Picture 125"/>
                  <a:graphic>
                    <a:graphicData uri="http://schemas.openxmlformats.org/drawingml/2006/picture">
                      <pic:pic>
                        <pic:nvPicPr>
                          <pic:cNvPr hidden="false" id="126" name="Picture 126"/>
                          <pic:cNvPicPr preferRelativeResize="true"/>
                        </pic:nvPicPr>
                        <pic:blipFill>
                          <a:blip r:embed="rId93"/>
                          <a:stretch/>
                        </pic:blipFill>
                        <pic:spPr>
                          <a:xfrm flipH="false" flipV="false" rot="0">
                            <a:ext cx="66675" cy="1047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Пимущ =</w:t>
            </w:r>
          </w:p>
          <w:p w14:paraId="1F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rPr>
                <w:sz w:val="22"/>
              </w:rPr>
              <w:drawing>
                <wp:inline>
                  <wp:extent cx="66675" cy="104775"/>
                  <wp:effectExtent b="0" l="0" r="0" t="0"/>
                  <wp:docPr hidden="false" id="127" name="Picture 127"/>
                  <a:graphic>
                    <a:graphicData uri="http://schemas.openxmlformats.org/drawingml/2006/picture">
                      <pic:pic>
                        <pic:nvPicPr>
                          <pic:cNvPr hidden="false" id="128" name="Picture 128"/>
                          <pic:cNvPicPr preferRelativeResize="true"/>
                        </pic:nvPicPr>
                        <pic:blipFill>
                          <a:blip r:embed="rId94"/>
                          <a:stretch/>
                        </pic:blipFill>
                        <pic:spPr>
                          <a:xfrm flipH="false" flipV="false" rot="0">
                            <a:ext cx="66675" cy="1047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Пимущ - прогнозируемый объем поступлений на планируемый период;</w:t>
            </w:r>
          </w:p>
          <w:p w14:paraId="21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2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фактическое поступление за отчетный период;</w:t>
            </w:r>
          </w:p>
          <w:p w14:paraId="23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4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sz w:val="22"/>
              </w:rPr>
              <w:drawing>
                <wp:inline>
                  <wp:extent cx="63500" cy="103504"/>
                  <wp:effectExtent b="0" l="0" r="0" t="0"/>
                  <wp:docPr hidden="false" id="129" name="Picture 129"/>
                  <a:graphic>
                    <a:graphicData uri="http://schemas.openxmlformats.org/drawingml/2006/picture">
                      <pic:pic>
                        <pic:nvPicPr>
                          <pic:cNvPr hidden="false" id="130" name="Picture 130"/>
                          <pic:cNvPicPr preferRelativeResize="true"/>
                        </pic:nvPicPr>
                        <pic:blipFill>
                          <a:blip r:embed="rId95"/>
                          <a:stretch/>
                        </pic:blipFill>
                        <pic:spPr>
                          <a:xfrm flipH="false" flipV="false" rot="0">
                            <a:ext cx="63500" cy="10350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25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</w:p>
          <w:p w14:paraId="26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 </w:t>
            </w:r>
            <w:r>
              <w:rPr>
                <w:rFonts w:ascii="PT Astra Serif" w:hAnsi="PT Astra Serif"/>
                <w:spacing w:val="0"/>
                <w:sz w:val="16"/>
              </w:rPr>
              <w:t>Дз –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9.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521 1 16 07010 04 0000 140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2E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31" name="Picture 131"/>
                  <a:graphic>
                    <a:graphicData uri="http://schemas.openxmlformats.org/drawingml/2006/picture">
                      <pic:pic>
                        <pic:nvPicPr>
                          <pic:cNvPr hidden="false" id="132" name="Picture 132"/>
                          <pic:cNvPicPr preferRelativeResize="true"/>
                        </pic:nvPicPr>
                        <pic:blipFill>
                          <a:blip r:embed="rId96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30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33" name="Picture 133"/>
                  <a:graphic>
                    <a:graphicData uri="http://schemas.openxmlformats.org/drawingml/2006/picture">
                      <pic:pic>
                        <pic:nvPicPr>
                          <pic:cNvPr hidden="false" id="134" name="Picture 134"/>
                          <pic:cNvPicPr preferRelativeResize="true"/>
                        </pic:nvPicPr>
                        <pic:blipFill>
                          <a:blip r:embed="rId97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32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33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34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35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135" name="Picture 135"/>
                  <a:graphic>
                    <a:graphicData uri="http://schemas.openxmlformats.org/drawingml/2006/picture">
                      <pic:pic>
                        <pic:nvPicPr>
                          <pic:cNvPr hidden="false" id="136" name="Picture 136"/>
                          <pic:cNvPicPr preferRelativeResize="true"/>
                        </pic:nvPicPr>
                        <pic:blipFill>
                          <a:blip r:embed="rId98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36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37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10.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521 1 16 07090 04 0000 140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3F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37" name="Picture 137"/>
                  <a:graphic>
                    <a:graphicData uri="http://schemas.openxmlformats.org/drawingml/2006/picture">
                      <pic:pic>
                        <pic:nvPicPr>
                          <pic:cNvPr hidden="false" id="138" name="Picture 138"/>
                          <pic:cNvPicPr preferRelativeResize="true"/>
                        </pic:nvPicPr>
                        <pic:blipFill>
                          <a:blip r:embed="rId99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41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39" name="Picture 139"/>
                  <a:graphic>
                    <a:graphicData uri="http://schemas.openxmlformats.org/drawingml/2006/picture">
                      <pic:pic>
                        <pic:nvPicPr>
                          <pic:cNvPr hidden="false" id="140" name="Picture 140"/>
                          <pic:cNvPicPr preferRelativeResize="true"/>
                        </pic:nvPicPr>
                        <pic:blipFill>
                          <a:blip r:embed="rId100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43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44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45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46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141" name="Picture 141"/>
                  <a:graphic>
                    <a:graphicData uri="http://schemas.openxmlformats.org/drawingml/2006/picture">
                      <pic:pic>
                        <pic:nvPicPr>
                          <pic:cNvPr hidden="false" id="142" name="Picture 142"/>
                          <pic:cNvPicPr preferRelativeResize="true"/>
                        </pic:nvPicPr>
                        <pic:blipFill>
                          <a:blip r:embed="rId101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47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48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11.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521 1 16 09040 04 0000 140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50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43" name="Picture 143"/>
                  <a:graphic>
                    <a:graphicData uri="http://schemas.openxmlformats.org/drawingml/2006/picture">
                      <pic:pic>
                        <pic:nvPicPr>
                          <pic:cNvPr hidden="false" id="144" name="Picture 144"/>
                          <pic:cNvPicPr preferRelativeResize="true"/>
                        </pic:nvPicPr>
                        <pic:blipFill>
                          <a:blip r:embed="rId102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52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45" name="Picture 145"/>
                  <a:graphic>
                    <a:graphicData uri="http://schemas.openxmlformats.org/drawingml/2006/picture">
                      <pic:pic>
                        <pic:nvPicPr>
                          <pic:cNvPr hidden="false" id="146" name="Picture 146"/>
                          <pic:cNvPicPr preferRelativeResize="true"/>
                        </pic:nvPicPr>
                        <pic:blipFill>
                          <a:blip r:embed="rId103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54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55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56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57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147" name="Picture 147"/>
                  <a:graphic>
                    <a:graphicData uri="http://schemas.openxmlformats.org/drawingml/2006/picture">
                      <pic:pic>
                        <pic:nvPicPr>
                          <pic:cNvPr hidden="false" id="148" name="Picture 148"/>
                          <pic:cNvPicPr preferRelativeResize="true"/>
                        </pic:nvPicPr>
                        <pic:blipFill>
                          <a:blip r:embed="rId104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58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59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12.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521 1 16 10031 04 0000 140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61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49" name="Picture 149"/>
                  <a:graphic>
                    <a:graphicData uri="http://schemas.openxmlformats.org/drawingml/2006/picture">
                      <pic:pic>
                        <pic:nvPicPr>
                          <pic:cNvPr hidden="false" id="150" name="Picture 150"/>
                          <pic:cNvPicPr preferRelativeResize="true"/>
                        </pic:nvPicPr>
                        <pic:blipFill>
                          <a:blip r:embed="rId105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63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51" name="Picture 151"/>
                  <a:graphic>
                    <a:graphicData uri="http://schemas.openxmlformats.org/drawingml/2006/picture">
                      <pic:pic>
                        <pic:nvPicPr>
                          <pic:cNvPr hidden="false" id="152" name="Picture 152"/>
                          <pic:cNvPicPr preferRelativeResize="true"/>
                        </pic:nvPicPr>
                        <pic:blipFill>
                          <a:blip r:embed="rId106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65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66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67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68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153" name="Picture 153"/>
                  <a:graphic>
                    <a:graphicData uri="http://schemas.openxmlformats.org/drawingml/2006/picture">
                      <pic:pic>
                        <pic:nvPicPr>
                          <pic:cNvPr hidden="false" id="154" name="Picture 154"/>
                          <pic:cNvPicPr preferRelativeResize="true"/>
                        </pic:nvPicPr>
                        <pic:blipFill>
                          <a:blip r:embed="rId107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69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6A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13.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521 1 16 10032 04 0000 140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72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55" name="Picture 155"/>
                  <a:graphic>
                    <a:graphicData uri="http://schemas.openxmlformats.org/drawingml/2006/picture">
                      <pic:pic>
                        <pic:nvPicPr>
                          <pic:cNvPr hidden="false" id="156" name="Picture 156"/>
                          <pic:cNvPicPr preferRelativeResize="true"/>
                        </pic:nvPicPr>
                        <pic:blipFill>
                          <a:blip r:embed="rId108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74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57" name="Picture 157"/>
                  <a:graphic>
                    <a:graphicData uri="http://schemas.openxmlformats.org/drawingml/2006/picture">
                      <pic:pic>
                        <pic:nvPicPr>
                          <pic:cNvPr hidden="false" id="158" name="Picture 158"/>
                          <pic:cNvPicPr preferRelativeResize="true"/>
                        </pic:nvPicPr>
                        <pic:blipFill>
                          <a:blip r:embed="rId109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76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77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78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79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159" name="Picture 159"/>
                  <a:graphic>
                    <a:graphicData uri="http://schemas.openxmlformats.org/drawingml/2006/picture">
                      <pic:pic>
                        <pic:nvPicPr>
                          <pic:cNvPr hidden="false" id="160" name="Picture 160"/>
                          <pic:cNvPicPr preferRelativeResize="true"/>
                        </pic:nvPicPr>
                        <pic:blipFill>
                          <a:blip r:embed="rId110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7A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7B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14.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521 1 16 10061 04 0000 140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begin"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instrText>HYPERLINK "https://internet.garant.ru/document/redirect/70353464/0"</w:instrTex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separate"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t>законодательства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end"/>
            </w:r>
            <w:r>
              <w:rPr>
                <w:rFonts w:ascii="PT Astra Serif" w:hAnsi="PT Astra Serif"/>
                <w:spacing w:val="0"/>
                <w:sz w:val="16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83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61" name="Picture 161"/>
                  <a:graphic>
                    <a:graphicData uri="http://schemas.openxmlformats.org/drawingml/2006/picture">
                      <pic:pic>
                        <pic:nvPicPr>
                          <pic:cNvPr hidden="false" id="162" name="Picture 162"/>
                          <pic:cNvPicPr preferRelativeResize="true"/>
                        </pic:nvPicPr>
                        <pic:blipFill>
                          <a:blip r:embed="rId111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85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63" name="Picture 163"/>
                  <a:graphic>
                    <a:graphicData uri="http://schemas.openxmlformats.org/drawingml/2006/picture">
                      <pic:pic>
                        <pic:nvPicPr>
                          <pic:cNvPr hidden="false" id="164" name="Picture 164"/>
                          <pic:cNvPicPr preferRelativeResize="true"/>
                        </pic:nvPicPr>
                        <pic:blipFill>
                          <a:blip r:embed="rId112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87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88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89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8A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165" name="Picture 165"/>
                  <a:graphic>
                    <a:graphicData uri="http://schemas.openxmlformats.org/drawingml/2006/picture">
                      <pic:pic>
                        <pic:nvPicPr>
                          <pic:cNvPr hidden="false" id="166" name="Picture 166"/>
                          <pic:cNvPicPr preferRelativeResize="true"/>
                        </pic:nvPicPr>
                        <pic:blipFill>
                          <a:blip r:embed="rId113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8B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8C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15.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521 1 16 10062 04 0000 140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begin"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instrText>HYPERLINK "https://internet.garant.ru/document/redirect/70353464/0"</w:instrTex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separate"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t xml:space="preserve">законодательства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16"/>
              </w:rPr>
              <w:fldChar w:fldCharType="end"/>
            </w:r>
            <w:r>
              <w:rPr>
                <w:rFonts w:ascii="PT Astra Serif" w:hAnsi="PT Astra Serif"/>
                <w:spacing w:val="0"/>
                <w:sz w:val="16"/>
              </w:rPr>
              <w:t>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94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67" name="Picture 167"/>
                  <a:graphic>
                    <a:graphicData uri="http://schemas.openxmlformats.org/drawingml/2006/picture">
                      <pic:pic>
                        <pic:nvPicPr>
                          <pic:cNvPr hidden="false" id="168" name="Picture 168"/>
                          <pic:cNvPicPr preferRelativeResize="true"/>
                        </pic:nvPicPr>
                        <pic:blipFill>
                          <a:blip r:embed="rId114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96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69" name="Picture 169"/>
                  <a:graphic>
                    <a:graphicData uri="http://schemas.openxmlformats.org/drawingml/2006/picture">
                      <pic:pic>
                        <pic:nvPicPr>
                          <pic:cNvPr hidden="false" id="170" name="Picture 170"/>
                          <pic:cNvPicPr preferRelativeResize="true"/>
                        </pic:nvPicPr>
                        <pic:blipFill>
                          <a:blip r:embed="rId115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98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99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9A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9B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171" name="Picture 171"/>
                  <a:graphic>
                    <a:graphicData uri="http://schemas.openxmlformats.org/drawingml/2006/picture">
                      <pic:pic>
                        <pic:nvPicPr>
                          <pic:cNvPr hidden="false" id="172" name="Picture 172"/>
                          <pic:cNvPicPr preferRelativeResize="true"/>
                        </pic:nvPicPr>
                        <pic:blipFill>
                          <a:blip r:embed="rId116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9C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9D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rPr>
          <w:trHeight w:hRule="atLeast" w:val="84"/>
        </w:trP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16.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521 1 16 10081 04 0000 140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A5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73" name="Picture 173"/>
                  <a:graphic>
                    <a:graphicData uri="http://schemas.openxmlformats.org/drawingml/2006/picture">
                      <pic:pic>
                        <pic:nvPicPr>
                          <pic:cNvPr hidden="false" id="174" name="Picture 174"/>
                          <pic:cNvPicPr preferRelativeResize="true"/>
                        </pic:nvPicPr>
                        <pic:blipFill>
                          <a:blip r:embed="rId117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A7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75" name="Picture 175"/>
                  <a:graphic>
                    <a:graphicData uri="http://schemas.openxmlformats.org/drawingml/2006/picture">
                      <pic:pic>
                        <pic:nvPicPr>
                          <pic:cNvPr hidden="false" id="176" name="Picture 176"/>
                          <pic:cNvPicPr preferRelativeResize="true"/>
                        </pic:nvPicPr>
                        <pic:blipFill>
                          <a:blip r:embed="rId118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A9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AA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AB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AC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177" name="Picture 177"/>
                  <a:graphic>
                    <a:graphicData uri="http://schemas.openxmlformats.org/drawingml/2006/picture">
                      <pic:pic>
                        <pic:nvPicPr>
                          <pic:cNvPr hidden="false" id="178" name="Picture 178"/>
                          <pic:cNvPicPr preferRelativeResize="true"/>
                        </pic:nvPicPr>
                        <pic:blipFill>
                          <a:blip r:embed="rId119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AD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AE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17.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521 1 16 10082 04 0000 140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B6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79" name="Picture 179"/>
                  <a:graphic>
                    <a:graphicData uri="http://schemas.openxmlformats.org/drawingml/2006/picture">
                      <pic:pic>
                        <pic:nvPicPr>
                          <pic:cNvPr hidden="false" id="180" name="Picture 180"/>
                          <pic:cNvPicPr preferRelativeResize="true"/>
                        </pic:nvPicPr>
                        <pic:blipFill>
                          <a:blip r:embed="rId120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B8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81" name="Picture 181"/>
                  <a:graphic>
                    <a:graphicData uri="http://schemas.openxmlformats.org/drawingml/2006/picture">
                      <pic:pic>
                        <pic:nvPicPr>
                          <pic:cNvPr hidden="false" id="182" name="Picture 182"/>
                          <pic:cNvPicPr preferRelativeResize="true"/>
                        </pic:nvPicPr>
                        <pic:blipFill>
                          <a:blip r:embed="rId121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BA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BB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BC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BD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183" name="Picture 183"/>
                  <a:graphic>
                    <a:graphicData uri="http://schemas.openxmlformats.org/drawingml/2006/picture">
                      <pic:pic>
                        <pic:nvPicPr>
                          <pic:cNvPr hidden="false" id="184" name="Picture 184"/>
                          <pic:cNvPicPr preferRelativeResize="true"/>
                        </pic:nvPicPr>
                        <pic:blipFill>
                          <a:blip r:embed="rId122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BE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BF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18.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521 1 16 10123 01 0041 140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бюджет муниципального образования по нормативам, действовавшим в 2019 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с исключением несистемных поступлений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C7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85" name="Picture 185"/>
                  <a:graphic>
                    <a:graphicData uri="http://schemas.openxmlformats.org/drawingml/2006/picture">
                      <pic:pic>
                        <pic:nvPicPr>
                          <pic:cNvPr hidden="false" id="186" name="Picture 186"/>
                          <pic:cNvPicPr preferRelativeResize="true"/>
                        </pic:nvPicPr>
                        <pic:blipFill>
                          <a:blip r:embed="rId123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=</w:t>
            </w:r>
          </w:p>
          <w:p w14:paraId="C9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87" name="Picture 187"/>
                  <a:graphic>
                    <a:graphicData uri="http://schemas.openxmlformats.org/drawingml/2006/picture">
                      <pic:pic>
                        <pic:nvPicPr>
                          <pic:cNvPr hidden="false" id="188" name="Picture 188"/>
                          <pic:cNvPicPr preferRelativeResize="true"/>
                        </pic:nvPicPr>
                        <pic:blipFill>
                          <a:blip r:embed="rId124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 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Пштр - прогнозируемый объем поступлений в расчетном году;</w:t>
            </w:r>
          </w:p>
          <w:p w14:paraId="CB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CC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фактический объем поступлений за отчетный период;</w:t>
            </w:r>
          </w:p>
          <w:p w14:paraId="CD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CE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189" name="Picture 189"/>
                  <a:graphic>
                    <a:graphicData uri="http://schemas.openxmlformats.org/drawingml/2006/picture">
                      <pic:pic>
                        <pic:nvPicPr>
                          <pic:cNvPr hidden="false" id="190" name="Picture 190"/>
                          <pic:cNvPicPr preferRelativeResize="true"/>
                        </pic:nvPicPr>
                        <pic:blipFill>
                          <a:blip r:embed="rId125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отчетный период;</w:t>
            </w:r>
          </w:p>
          <w:p w14:paraId="CF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D0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19.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521 1 16 11064 01 0000 140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(с применением простой средней или скользящей средней)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Пвред =</w:t>
            </w:r>
          </w:p>
          <w:p w14:paraId="D8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>) /3+Дз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Пвред =</w:t>
            </w:r>
          </w:p>
          <w:p w14:paraId="DA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(П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 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>) /3+Дз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Пвред - прогнозируемый объем поступлений в расчетном году;</w:t>
            </w:r>
          </w:p>
          <w:p w14:paraId="DC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DD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фактическое поступление за 3 года, предшествующее текущему году, или за весь период поступления соответствующего вида доходов в случае, если он не превышает 3 года;</w:t>
            </w:r>
          </w:p>
          <w:p w14:paraId="DE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DF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20.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521 1 17 01040 04 0000 180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целевого ориентира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Пнев = ЦО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Пнев = ЦО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Пнев - прогнозируемый объем невыясненных поступлений, зачисляемых в бюджеты городских округов, в расчетном году;</w:t>
            </w:r>
          </w:p>
          <w:p w14:paraId="E9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EA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ЦО - целевой ориентир поступления в бюджет города невыясненных платежей.</w:t>
            </w:r>
          </w:p>
          <w:p w14:paraId="EB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EC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К невыясненным поступлениям относятся платежи, по которым расчетные документы заполнены с нарушениями установленного порядка.</w:t>
            </w:r>
          </w:p>
          <w:p w14:paraId="ED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Данный вид дохода служит для уточнения по назначению невыясненных платежей, зачисляемых в бюджет города. Показатель целевого ориентира (ЦО) устанавливается в размере 0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21.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521 117 05040 04 0000 180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Прочие неналоговые доходы бюджетов городских округов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прямого расчета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Ппнд = Начисл +1/5 ДЗад +/- Д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Ппнд = Начисл +1/5 ДЗад +/- Д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Ппнд - прогнозируемый объем поступлений прочих неналоговых доходов в расчетном году;</w:t>
            </w:r>
          </w:p>
          <w:p w14:paraId="F7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F8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Начисл - сумма начислений, ожидаемая к поступлению в расчетном году;</w:t>
            </w:r>
          </w:p>
          <w:p w14:paraId="F9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FA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Дзад - сумма дебиторской задолженности на последнюю отчетную дату прошедшего периода текущего года;</w:t>
            </w:r>
          </w:p>
          <w:p w14:paraId="FB06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FC06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 - сумма прогнозируемых дополнительных (выпадающих) доходов, связанных с заключением (расторжением) договоров, возвратом денежных средств по решению судов, изменением нормативно-правовой базы, регулирующей начисления, в расчетном году</w:t>
            </w:r>
          </w:p>
        </w:tc>
      </w:tr>
      <w:t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6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22.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6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7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521 117 15020 04 0000 150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Инициативные платежи, зачисляемые в бюджеты городских округов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усреднения (с применением простой средней или скользящей средней)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Пинпл = 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- </w:t>
            </w:r>
            <w:r>
              <w:drawing>
                <wp:inline>
                  <wp:extent cx="121285" cy="161290"/>
                  <wp:effectExtent b="0" l="0" r="0" t="0"/>
                  <wp:docPr hidden="false" id="191" name="Picture 191"/>
                  <a:graphic>
                    <a:graphicData uri="http://schemas.openxmlformats.org/drawingml/2006/picture">
                      <pic:pic>
                        <pic:nvPicPr>
                          <pic:cNvPr hidden="false" id="192" name="Picture 192"/>
                          <pic:cNvPicPr preferRelativeResize="true"/>
                        </pic:nvPicPr>
                        <pic:blipFill>
                          <a:blip r:embed="rId126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Пнес)/3+Дз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Пинпл = (П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2 </w:t>
            </w:r>
            <w:r>
              <w:rPr>
                <w:rFonts w:ascii="PT Astra Serif" w:hAnsi="PT Astra Serif"/>
                <w:spacing w:val="0"/>
                <w:sz w:val="16"/>
              </w:rPr>
              <w:t>+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 xml:space="preserve">3 </w:t>
            </w:r>
            <w:r>
              <w:rPr>
                <w:rFonts w:ascii="PT Astra Serif" w:hAnsi="PT Astra Serif"/>
                <w:spacing w:val="0"/>
                <w:sz w:val="16"/>
              </w:rPr>
              <w:t>-</w:t>
            </w:r>
            <w:r>
              <w:drawing>
                <wp:inline>
                  <wp:extent cx="121285" cy="161290"/>
                  <wp:effectExtent b="0" l="0" r="0" t="0"/>
                  <wp:docPr hidden="false" id="193" name="Picture 193"/>
                  <a:graphic>
                    <a:graphicData uri="http://schemas.openxmlformats.org/drawingml/2006/picture">
                      <pic:pic>
                        <pic:nvPicPr>
                          <pic:cNvPr hidden="false" id="194" name="Picture 194"/>
                          <pic:cNvPicPr preferRelativeResize="true"/>
                        </pic:nvPicPr>
                        <pic:blipFill>
                          <a:blip r:embed="rId127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Пнес)/3 +Дз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Пинпл - прогнозируемый объем поступлений на планируемый период;</w:t>
            </w:r>
          </w:p>
          <w:p w14:paraId="0607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07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П 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1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2</w:t>
            </w:r>
            <w:r>
              <w:rPr>
                <w:rFonts w:ascii="PT Astra Serif" w:hAnsi="PT Astra Serif"/>
                <w:spacing w:val="0"/>
                <w:sz w:val="16"/>
              </w:rPr>
              <w:t>, П</w:t>
            </w:r>
            <w:r>
              <w:rPr>
                <w:rFonts w:ascii="PT Astra Serif" w:hAnsi="PT Astra Serif"/>
                <w:spacing w:val="0"/>
                <w:sz w:val="16"/>
                <w:vertAlign w:val="subscript"/>
              </w:rPr>
              <w:t> 3</w:t>
            </w:r>
            <w:r>
              <w:rPr>
                <w:rFonts w:ascii="PT Astra Serif" w:hAnsi="PT Astra Serif"/>
                <w:spacing w:val="0"/>
                <w:sz w:val="16"/>
              </w:rPr>
              <w:t xml:space="preserve"> - фактическое поступление за 3 года, предшествующее текущему году, или за весь период поступления соответствующего вида доходов в случае, если он не превышает 3 года;</w:t>
            </w:r>
          </w:p>
          <w:p w14:paraId="0807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09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drawing>
                <wp:inline>
                  <wp:extent cx="121285" cy="161290"/>
                  <wp:effectExtent b="0" l="0" r="0" t="0"/>
                  <wp:docPr hidden="false" id="195" name="Picture 195"/>
                  <a:graphic>
                    <a:graphicData uri="http://schemas.openxmlformats.org/drawingml/2006/picture">
                      <pic:pic>
                        <pic:nvPicPr>
                          <pic:cNvPr hidden="false" id="196" name="Picture 196"/>
                          <pic:cNvPicPr preferRelativeResize="true"/>
                        </pic:nvPicPr>
                        <pic:blipFill>
                          <a:blip r:embed="rId128"/>
                          <a:stretch/>
                        </pic:blipFill>
                        <pic:spPr>
                          <a:xfrm flipH="false" flipV="false" rot="0">
                            <a:ext cx="121285" cy="1612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pacing w:val="0"/>
                <w:sz w:val="16"/>
              </w:rPr>
              <w:t>Пнес - суммарный объем поступлений, носящих несистемный характер, за 3 года, предшествующих текущему году, или за весь период поступления соответствующего вида доходов в случае, если он не превышает 3 год;</w:t>
            </w:r>
          </w:p>
          <w:p w14:paraId="0A07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0B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Дз - оценка ожидаемых результатов работы по взысканию задолженности по доходам</w:t>
            </w:r>
          </w:p>
        </w:tc>
      </w:tr>
      <w:tr>
        <w:trPr>
          <w:trHeight w:hRule="atLeast" w:val="2643"/>
        </w:trPr>
        <w:tc>
          <w:tcPr>
            <w:tcW w:type="dxa" w:w="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7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23.</w:t>
            </w:r>
          </w:p>
        </w:tc>
        <w:tc>
          <w:tcPr>
            <w:tcW w:type="dxa" w:w="4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7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</w:t>
            </w:r>
          </w:p>
        </w:tc>
        <w:tc>
          <w:tcPr>
            <w:tcW w:type="dxa" w:w="1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7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Управление транспорта и коммунального хозяйства администрации города Магнитогорска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70000">
            <w:pPr>
              <w:pStyle w:val="Style_5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521 202 00000 00 0000 000</w:t>
            </w:r>
          </w:p>
        </w:tc>
        <w:tc>
          <w:tcPr>
            <w:tcW w:type="dxa" w:w="11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type="dxa" w:w="1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Метод целевого ориентира</w:t>
            </w:r>
          </w:p>
        </w:tc>
        <w:tc>
          <w:tcPr>
            <w:tcW w:type="dxa" w:w="10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Бп =ЦО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Бп =ЦО</w:t>
            </w:r>
          </w:p>
        </w:tc>
        <w:tc>
          <w:tcPr>
            <w:tcW w:type="dxa" w:w="2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Бп - прогнозируемый объем безвозмездных поступлений от других бюджетов бюджетной системы Российской Федерации в расчетном году;</w:t>
            </w:r>
          </w:p>
          <w:p w14:paraId="15070000">
            <w:pPr>
              <w:pStyle w:val="Style_5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</w:p>
          <w:p w14:paraId="16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ЦО - целевой ориентир.</w:t>
            </w:r>
          </w:p>
          <w:p w14:paraId="17070000">
            <w:pPr>
              <w:pStyle w:val="Style_6"/>
              <w:widowControl w:val="0"/>
              <w:spacing w:after="0" w:before="0" w:line="240" w:lineRule="auto"/>
              <w:ind w:firstLine="0" w:left="-57" w:right="-57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pacing w:val="0"/>
                <w:sz w:val="16"/>
              </w:rPr>
              <w:t>За целевой ориентир принимаются утвержденные в текущем году плановые показатели по безвозмездным поступлениям от других бюджетов бюджетной системы Российской Федерации на расчетный год и плановый период</w:t>
            </w:r>
          </w:p>
        </w:tc>
      </w:tr>
    </w:tbl>
    <w:p w14:paraId="1807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10"/>
        </w:rPr>
      </w:pPr>
    </w:p>
    <w:p w14:paraId="1907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sectPr>
      <w:headerReference r:id="rId21" w:type="default"/>
      <w:headerReference r:id="rId19" w:type="first"/>
      <w:headerReference r:id="rId29" w:type="even"/>
      <w:footerReference r:id="rId22" w:type="default"/>
      <w:footerReference r:id="rId20" w:type="first"/>
      <w:footerReference r:id="rId30" w:type="even"/>
      <w:type w:val="nextPage"/>
      <w:pgSz w:h="16838" w:orient="portrait" w:w="11906"/>
      <w:pgMar w:bottom="1134" w:footer="709" w:gutter="0" w:header="709" w:left="1701" w:right="851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2"/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2"/>
    </w:pPr>
  </w:p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Вр-2431251</w:t>
    </w: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2"/>
    </w:pPr>
  </w:p>
</w:ftr>
</file>

<file path=word/footer1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Вр-2431251</w: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2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D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Вр-2431251</w:t>
    </w:r>
  </w:p>
</w:ftr>
</file>

<file path=word/footer2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0000000">
    <w:pPr>
      <w:pStyle w:val="Style_2"/>
    </w:pPr>
  </w:p>
</w:ftr>
</file>

<file path=word/footer2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4000000">
    <w:pPr>
      <w:pStyle w:val="Style_2"/>
    </w:pPr>
  </w:p>
</w:ftr>
</file>

<file path=word/footer2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6000000">
    <w:pPr>
      <w:pStyle w:val="Style_2"/>
    </w:pPr>
  </w:p>
</w:ftr>
</file>

<file path=word/footer2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8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Вр-2431251</w:t>
    </w:r>
  </w:p>
</w:ftr>
</file>

<file path=word/footer3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C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Вр-2431251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2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7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8000000">
    <w:pPr>
      <w:pStyle w:val="Style_1"/>
    </w:pP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A000000">
    <w:pPr>
      <w:pStyle w:val="Style_1"/>
    </w:pPr>
  </w:p>
</w:hdr>
</file>

<file path=word/header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C000000">
    <w:pPr>
      <w:pStyle w:val="Style_1"/>
    </w:pPr>
  </w:p>
</w:hdr>
</file>

<file path=word/header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E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F000000">
    <w:pPr>
      <w:pStyle w:val="Style_1"/>
    </w:pPr>
  </w:p>
</w:hdr>
</file>

<file path=word/header2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22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23000000">
    <w:pPr>
      <w:pStyle w:val="Style_1"/>
    </w:pPr>
  </w:p>
</w:hdr>
</file>

<file path=word/header2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5000000">
    <w:pPr>
      <w:pStyle w:val="Style_1"/>
      <w:widowControl w:val="0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hdr>
</file>

<file path=word/header2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7000000">
    <w:pPr>
      <w:pStyle w:val="Style_1"/>
    </w:pPr>
  </w:p>
</w:hdr>
</file>

<file path=word/header2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9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2A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2B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8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B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C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F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2" w:type="paragraph">
    <w:name w:val="Footer"/>
    <w:link w:val="Style_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_ch" w:type="character">
    <w:name w:val="Footer"/>
    <w:link w:val="Style_2"/>
    <w:rPr>
      <w:rFonts w:asciiTheme="minorAscii" w:hAnsiTheme="minorHAnsi"/>
      <w:color w:val="000000"/>
      <w:spacing w:val="0"/>
      <w:sz w:val="22"/>
    </w:rPr>
  </w:style>
  <w:style w:styleId="Style_9" w:type="paragraph">
    <w:name w:val="Emphasis"/>
    <w:basedOn w:val="Style_10"/>
    <w:link w:val="Style_9_ch"/>
    <w:rPr>
      <w:i w:val="1"/>
      <w:color w:val="000000"/>
    </w:rPr>
  </w:style>
  <w:style w:styleId="Style_9_ch" w:type="character">
    <w:name w:val="Emphasis"/>
    <w:basedOn w:val="Style_10_ch"/>
    <w:link w:val="Style_9"/>
    <w:rPr>
      <w:i w:val="1"/>
      <w:color w:val="000000"/>
    </w:rPr>
  </w:style>
  <w:style w:styleId="Style_11" w:type="paragraph">
    <w:name w:val="Заголовок 1 Знак"/>
    <w:basedOn w:val="Style_10"/>
    <w:link w:val="Style_11_ch"/>
    <w:rPr>
      <w:rFonts w:ascii="XO Thames" w:hAnsi="XO Thames"/>
      <w:b w:val="1"/>
      <w:color w:val="000000"/>
      <w:sz w:val="32"/>
    </w:rPr>
  </w:style>
  <w:style w:styleId="Style_11_ch" w:type="character">
    <w:name w:val="Заголовок 1 Знак"/>
    <w:basedOn w:val="Style_10_ch"/>
    <w:link w:val="Style_11"/>
    <w:rPr>
      <w:rFonts w:ascii="XO Thames" w:hAnsi="XO Thames"/>
      <w:b w:val="1"/>
      <w:color w:val="000000"/>
      <w:sz w:val="32"/>
    </w:rPr>
  </w:style>
  <w:style w:styleId="Style_12" w:type="paragraph">
    <w:name w:val="toc 2"/>
    <w:next w:val="Style_3"/>
    <w:link w:val="Style_12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2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Оглавление 3 Знак"/>
    <w:link w:val="Style_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Оглавление 3 Знак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Колонтитул"/>
    <w:link w:val="Style_1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4_ch" w:type="character">
    <w:name w:val="Колонтитул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Balloon Text"/>
    <w:basedOn w:val="Style_3"/>
    <w:link w:val="Style_15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15_ch" w:type="character">
    <w:name w:val="Balloon Text"/>
    <w:basedOn w:val="Style_3_ch"/>
    <w:link w:val="Style_15"/>
    <w:rPr>
      <w:rFonts w:ascii="Tahoma" w:hAnsi="Tahoma"/>
      <w:sz w:val="16"/>
    </w:rPr>
  </w:style>
  <w:style w:styleId="Style_16" w:type="paragraph">
    <w:name w:val="Верхний колонтитул Знак"/>
    <w:basedOn w:val="Style_10"/>
    <w:link w:val="Style_16_ch"/>
  </w:style>
  <w:style w:styleId="Style_16_ch" w:type="character">
    <w:name w:val="Верхний колонтитул Знак"/>
    <w:basedOn w:val="Style_10_ch"/>
    <w:link w:val="Style_16"/>
  </w:style>
  <w:style w:styleId="Style_17" w:type="paragraph">
    <w:name w:val="toc 4"/>
    <w:next w:val="Style_3"/>
    <w:link w:val="Style_17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toc 4"/>
    <w:link w:val="Style_17"/>
    <w:rPr>
      <w:rFonts w:ascii="XO Thames" w:hAnsi="XO Thames"/>
      <w:color w:val="000000"/>
      <w:spacing w:val="0"/>
      <w:sz w:val="28"/>
    </w:rPr>
  </w:style>
  <w:style w:styleId="Style_10" w:type="paragraph">
    <w:name w:val="Default Paragraph Font"/>
    <w:link w:val="Style_10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0_ch" w:type="character">
    <w:name w:val="Default Paragraph Font"/>
    <w:link w:val="Style_10"/>
    <w:rPr>
      <w:rFonts w:asciiTheme="minorAscii" w:hAnsiTheme="minorHAnsi"/>
      <w:color w:val="000000"/>
      <w:spacing w:val="0"/>
      <w:sz w:val="22"/>
    </w:rPr>
  </w:style>
  <w:style w:styleId="Style_7" w:type="paragraph">
    <w:name w:val="toc 6"/>
    <w:next w:val="Style_3"/>
    <w:link w:val="Style_7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6"/>
    <w:link w:val="Style_7"/>
    <w:rPr>
      <w:rFonts w:ascii="XO Thames" w:hAnsi="XO Thames"/>
      <w:color w:val="000000"/>
      <w:spacing w:val="0"/>
      <w:sz w:val="28"/>
    </w:rPr>
  </w:style>
  <w:style w:styleId="Style_18" w:type="paragraph">
    <w:name w:val="Contents 4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Contents 4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Footer"/>
    <w:link w:val="Style_19_ch"/>
  </w:style>
  <w:style w:styleId="Style_19_ch" w:type="character">
    <w:name w:val="Footer"/>
    <w:link w:val="Style_19"/>
  </w:style>
  <w:style w:styleId="Style_20" w:type="paragraph">
    <w:name w:val="toc 7"/>
    <w:next w:val="Style_3"/>
    <w:link w:val="Style_20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toc 7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heading 2"/>
    <w:next w:val="Style_3"/>
    <w:link w:val="Style_21_ch"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1_ch" w:type="character">
    <w:name w:val="heading 2"/>
    <w:link w:val="Style_21"/>
    <w:rPr>
      <w:rFonts w:ascii="XO Thames" w:hAnsi="XO Thames"/>
      <w:b w:val="1"/>
      <w:color w:val="000000"/>
      <w:spacing w:val="0"/>
      <w:sz w:val="28"/>
    </w:rPr>
  </w:style>
  <w:style w:styleId="Style_22" w:type="paragraph">
    <w:name w:val="Оглавление 7 Знак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Оглавление 7 Знак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Contents 3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_ch" w:type="character">
    <w:name w:val="Contents 3"/>
    <w:link w:val="Style_23"/>
    <w:rPr>
      <w:rFonts w:ascii="XO Thames" w:hAnsi="XO Thames"/>
      <w:color w:val="000000"/>
      <w:spacing w:val="0"/>
      <w:sz w:val="28"/>
    </w:rPr>
  </w:style>
  <w:style w:styleId="Style_24" w:type="paragraph">
    <w:name w:val="Колонтитулы"/>
    <w:basedOn w:val="Style_3"/>
    <w:link w:val="Style_24_ch"/>
    <w:pPr>
      <w:widowControl w:val="0"/>
      <w:spacing w:after="0" w:before="0" w:line="240" w:lineRule="auto"/>
      <w:ind/>
    </w:pPr>
    <w:rPr>
      <w:rFonts w:ascii="Times New Roman" w:hAnsi="Times New Roman"/>
      <w:sz w:val="24"/>
    </w:rPr>
  </w:style>
  <w:style w:styleId="Style_24_ch" w:type="character">
    <w:name w:val="Колонтитулы"/>
    <w:basedOn w:val="Style_3_ch"/>
    <w:link w:val="Style_24"/>
    <w:rPr>
      <w:rFonts w:ascii="Times New Roman" w:hAnsi="Times New Roman"/>
      <w:sz w:val="24"/>
    </w:rPr>
  </w:style>
  <w:style w:styleId="Style_25" w:type="paragraph">
    <w:name w:val="Endnote"/>
    <w:link w:val="Style_2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5_ch" w:type="character">
    <w:name w:val="Endnote"/>
    <w:link w:val="Style_25"/>
    <w:rPr>
      <w:rFonts w:ascii="XO Thames" w:hAnsi="XO Thames"/>
      <w:color w:val="000000"/>
      <w:spacing w:val="0"/>
      <w:sz w:val="22"/>
    </w:rPr>
  </w:style>
  <w:style w:styleId="Style_26" w:type="paragraph">
    <w:name w:val="heading 3"/>
    <w:next w:val="Style_3"/>
    <w:link w:val="Style_2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6_ch" w:type="character">
    <w:name w:val="heading 3"/>
    <w:link w:val="Style_26"/>
    <w:rPr>
      <w:rFonts w:ascii="XO Thames" w:hAnsi="XO Thames"/>
      <w:b w:val="1"/>
      <w:color w:val="000000"/>
      <w:spacing w:val="0"/>
      <w:sz w:val="26"/>
    </w:rPr>
  </w:style>
  <w:style w:styleId="Style_27" w:type="paragraph">
    <w:name w:val="Contents 2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_ch" w:type="character">
    <w:name w:val="Contents 2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Emphasis"/>
    <w:basedOn w:val="Style_10"/>
    <w:link w:val="Style_28_ch"/>
    <w:rPr>
      <w:i w:val="1"/>
      <w:color w:val="000000"/>
    </w:rPr>
  </w:style>
  <w:style w:styleId="Style_28_ch" w:type="character">
    <w:name w:val="Emphasis"/>
    <w:basedOn w:val="Style_10_ch"/>
    <w:link w:val="Style_28"/>
    <w:rPr>
      <w:i w:val="1"/>
      <w:color w:val="000000"/>
    </w:rPr>
  </w:style>
  <w:style w:styleId="Style_29" w:type="paragraph">
    <w:name w:val="s_1"/>
    <w:basedOn w:val="Style_3"/>
    <w:link w:val="Style_29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9_ch" w:type="character">
    <w:name w:val="s_1"/>
    <w:basedOn w:val="Style_3_ch"/>
    <w:link w:val="Style_29"/>
    <w:rPr>
      <w:rFonts w:ascii="Times New Roman" w:hAnsi="Times New Roman"/>
      <w:sz w:val="24"/>
    </w:rPr>
  </w:style>
  <w:style w:styleId="Style_5" w:type="paragraph">
    <w:name w:val="Нормальный (таблица)"/>
    <w:basedOn w:val="Style_3"/>
    <w:next w:val="Style_3"/>
    <w:link w:val="Style_5_ch"/>
    <w:pPr>
      <w:widowControl w:val="0"/>
      <w:spacing w:after="0" w:before="0" w:line="240" w:lineRule="auto"/>
      <w:ind/>
      <w:jc w:val="both"/>
    </w:pPr>
    <w:rPr>
      <w:rFonts w:ascii="Times New Roman CYR" w:hAnsi="Times New Roman CYR"/>
      <w:sz w:val="24"/>
    </w:rPr>
  </w:style>
  <w:style w:styleId="Style_5_ch" w:type="character">
    <w:name w:val="Нормальный (таблица)"/>
    <w:basedOn w:val="Style_3_ch"/>
    <w:link w:val="Style_5"/>
    <w:rPr>
      <w:rFonts w:ascii="Times New Roman CYR" w:hAnsi="Times New Roman CYR"/>
      <w:sz w:val="24"/>
    </w:rPr>
  </w:style>
  <w:style w:styleId="Style_30" w:type="paragraph">
    <w:name w:val="empty"/>
    <w:basedOn w:val="Style_3"/>
    <w:link w:val="Style_3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0_ch" w:type="character">
    <w:name w:val="empty"/>
    <w:basedOn w:val="Style_3_ch"/>
    <w:link w:val="Style_30"/>
    <w:rPr>
      <w:rFonts w:ascii="Times New Roman" w:hAnsi="Times New Roman"/>
      <w:sz w:val="24"/>
    </w:rPr>
  </w:style>
  <w:style w:styleId="Style_31" w:type="paragraph">
    <w:name w:val="Subtitle"/>
    <w:link w:val="Style_31_ch"/>
    <w:rPr>
      <w:rFonts w:ascii="XO Thames" w:hAnsi="XO Thames"/>
      <w:i w:val="1"/>
      <w:color w:val="000000"/>
      <w:sz w:val="24"/>
    </w:rPr>
  </w:style>
  <w:style w:styleId="Style_31_ch" w:type="character">
    <w:name w:val="Subtitle"/>
    <w:link w:val="Style_31"/>
    <w:rPr>
      <w:rFonts w:ascii="XO Thames" w:hAnsi="XO Thames"/>
      <w:i w:val="1"/>
      <w:color w:val="000000"/>
      <w:sz w:val="24"/>
    </w:rPr>
  </w:style>
  <w:style w:styleId="Style_6" w:type="paragraph">
    <w:name w:val="Прижатый влево"/>
    <w:basedOn w:val="Style_3"/>
    <w:next w:val="Style_3"/>
    <w:link w:val="Style_6_ch"/>
    <w:pPr>
      <w:widowControl w:val="0"/>
      <w:spacing w:after="0" w:before="0" w:line="240" w:lineRule="auto"/>
      <w:ind/>
    </w:pPr>
    <w:rPr>
      <w:rFonts w:ascii="Times New Roman CYR" w:hAnsi="Times New Roman CYR"/>
      <w:sz w:val="24"/>
    </w:rPr>
  </w:style>
  <w:style w:styleId="Style_6_ch" w:type="character">
    <w:name w:val="Прижатый влево"/>
    <w:basedOn w:val="Style_3_ch"/>
    <w:link w:val="Style_6"/>
    <w:rPr>
      <w:rFonts w:ascii="Times New Roman CYR" w:hAnsi="Times New Roman CYR"/>
      <w:sz w:val="24"/>
    </w:rPr>
  </w:style>
  <w:style w:styleId="Style_32" w:type="paragraph">
    <w:name w:val="Заголовок Знак"/>
    <w:basedOn w:val="Style_10"/>
    <w:link w:val="Style_32_ch"/>
    <w:rPr>
      <w:rFonts w:ascii="XO Thames" w:hAnsi="XO Thames"/>
      <w:b w:val="1"/>
      <w:caps w:val="1"/>
      <w:color w:val="000000"/>
      <w:sz w:val="40"/>
    </w:rPr>
  </w:style>
  <w:style w:styleId="Style_32_ch" w:type="character">
    <w:name w:val="Заголовок Знак"/>
    <w:basedOn w:val="Style_10_ch"/>
    <w:link w:val="Style_32"/>
    <w:rPr>
      <w:rFonts w:ascii="XO Thames" w:hAnsi="XO Thames"/>
      <w:b w:val="1"/>
      <w:caps w:val="1"/>
      <w:color w:val="000000"/>
      <w:sz w:val="40"/>
    </w:rPr>
  </w:style>
  <w:style w:styleId="Style_33" w:type="paragraph">
    <w:name w:val="Заголовок1"/>
    <w:basedOn w:val="Style_34"/>
    <w:link w:val="Style_33_ch"/>
    <w:rPr>
      <w:rFonts w:ascii="PT Astra Serif" w:hAnsi="PT Astra Serif"/>
      <w:color w:val="000000"/>
      <w:sz w:val="28"/>
    </w:rPr>
  </w:style>
  <w:style w:styleId="Style_33_ch" w:type="character">
    <w:name w:val="Заголовок1"/>
    <w:basedOn w:val="Style_34_ch"/>
    <w:link w:val="Style_33"/>
    <w:rPr>
      <w:rFonts w:ascii="PT Astra Serif" w:hAnsi="PT Astra Serif"/>
      <w:color w:val="000000"/>
      <w:sz w:val="28"/>
    </w:rPr>
  </w:style>
  <w:style w:styleId="Style_35" w:type="paragraph">
    <w:name w:val="Верхний колонтитул Знак1"/>
    <w:basedOn w:val="Style_34"/>
    <w:link w:val="Style_35_ch"/>
    <w:rPr>
      <w:rFonts w:asciiTheme="minorAscii" w:hAnsiTheme="minorHAnsi"/>
      <w:color w:val="000000"/>
      <w:sz w:val="22"/>
    </w:rPr>
  </w:style>
  <w:style w:styleId="Style_35_ch" w:type="character">
    <w:name w:val="Верхний колонтитул Знак1"/>
    <w:basedOn w:val="Style_34_ch"/>
    <w:link w:val="Style_35"/>
    <w:rPr>
      <w:rFonts w:asciiTheme="minorAscii" w:hAnsiTheme="minorHAnsi"/>
      <w:color w:val="000000"/>
      <w:sz w:val="22"/>
    </w:rPr>
  </w:style>
  <w:style w:styleId="Style_36" w:type="paragraph">
    <w:name w:val="index 1"/>
    <w:basedOn w:val="Style_3"/>
    <w:next w:val="Style_3"/>
    <w:link w:val="Style_36_ch"/>
    <w:pPr>
      <w:widowControl w:val="0"/>
      <w:spacing w:after="0" w:before="0" w:line="240" w:lineRule="auto"/>
      <w:ind w:hanging="220" w:left="220" w:right="0"/>
    </w:pPr>
  </w:style>
  <w:style w:styleId="Style_36_ch" w:type="character">
    <w:name w:val="index 1"/>
    <w:basedOn w:val="Style_3_ch"/>
    <w:link w:val="Style_36"/>
  </w:style>
  <w:style w:styleId="Style_37" w:type="paragraph">
    <w:name w:val="Заголовок 4 Знак"/>
    <w:basedOn w:val="Style_10"/>
    <w:link w:val="Style_37_ch"/>
    <w:rPr>
      <w:rFonts w:ascii="XO Thames" w:hAnsi="XO Thames"/>
      <w:b w:val="1"/>
      <w:color w:val="000000"/>
      <w:sz w:val="24"/>
    </w:rPr>
  </w:style>
  <w:style w:styleId="Style_37_ch" w:type="character">
    <w:name w:val="Заголовок 4 Знак"/>
    <w:basedOn w:val="Style_10_ch"/>
    <w:link w:val="Style_37"/>
    <w:rPr>
      <w:rFonts w:ascii="XO Thames" w:hAnsi="XO Thames"/>
      <w:b w:val="1"/>
      <w:color w:val="000000"/>
      <w:sz w:val="24"/>
    </w:rPr>
  </w:style>
  <w:style w:styleId="Style_38" w:type="paragraph">
    <w:name w:val="caption"/>
    <w:basedOn w:val="Style_3"/>
    <w:link w:val="Style_38_ch"/>
    <w:pPr>
      <w:widowControl w:val="0"/>
      <w:spacing w:after="120" w:before="120" w:line="240" w:lineRule="auto"/>
      <w:ind/>
    </w:pPr>
    <w:rPr>
      <w:rFonts w:ascii="PT Astra Serif" w:hAnsi="PT Astra Serif"/>
      <w:i w:val="1"/>
      <w:color w:val="000000"/>
      <w:sz w:val="24"/>
    </w:rPr>
  </w:style>
  <w:style w:styleId="Style_38_ch" w:type="character">
    <w:name w:val="caption"/>
    <w:basedOn w:val="Style_3_ch"/>
    <w:link w:val="Style_38"/>
    <w:rPr>
      <w:rFonts w:ascii="PT Astra Serif" w:hAnsi="PT Astra Serif"/>
      <w:i w:val="1"/>
      <w:color w:val="000000"/>
      <w:sz w:val="24"/>
    </w:rPr>
  </w:style>
  <w:style w:styleId="Style_39" w:type="paragraph">
    <w:name w:val="Гиперссылка1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9_ch" w:type="character">
    <w:name w:val="Гиперссылка1"/>
    <w:link w:val="Style_39"/>
    <w:rPr>
      <w:rFonts w:ascii="Calibri" w:hAnsi="Calibri"/>
      <w:color w:val="0000FF"/>
      <w:spacing w:val="0"/>
      <w:sz w:val="22"/>
      <w:u w:val="single"/>
    </w:rPr>
  </w:style>
  <w:style w:styleId="Style_40" w:type="paragraph">
    <w:name w:val="Гипертекстовая ссылка"/>
    <w:basedOn w:val="Style_10"/>
    <w:link w:val="Style_40_ch"/>
    <w:rPr>
      <w:b w:val="0"/>
      <w:color w:val="106BBE"/>
    </w:rPr>
  </w:style>
  <w:style w:styleId="Style_40_ch" w:type="character">
    <w:name w:val="Гипертекстовая ссылка"/>
    <w:basedOn w:val="Style_10_ch"/>
    <w:link w:val="Style_40"/>
    <w:rPr>
      <w:b w:val="0"/>
      <w:color w:val="106BBE"/>
    </w:rPr>
  </w:style>
  <w:style w:styleId="Style_41" w:type="paragraph">
    <w:name w:val="Комментарий"/>
    <w:basedOn w:val="Style_3"/>
    <w:link w:val="Style_41_ch"/>
    <w:pPr>
      <w:widowControl w:val="0"/>
      <w:spacing w:after="0" w:before="56" w:line="240" w:lineRule="auto"/>
      <w:ind w:firstLine="0" w:left="57" w:right="57"/>
    </w:pPr>
    <w:rPr>
      <w:rFonts w:ascii="Times New Roman" w:hAnsi="Times New Roman"/>
      <w:color w:val="000000"/>
      <w:sz w:val="20"/>
    </w:rPr>
  </w:style>
  <w:style w:styleId="Style_41_ch" w:type="character">
    <w:name w:val="Комментарий"/>
    <w:basedOn w:val="Style_3_ch"/>
    <w:link w:val="Style_41"/>
    <w:rPr>
      <w:rFonts w:ascii="Times New Roman" w:hAnsi="Times New Roman"/>
      <w:color w:val="000000"/>
      <w:sz w:val="20"/>
    </w:rPr>
  </w:style>
  <w:style w:styleId="Style_42" w:type="paragraph">
    <w:name w:val="Standard"/>
    <w:link w:val="Style_42_ch"/>
    <w:pPr>
      <w:widowControl w:val="0"/>
      <w:spacing w:after="0" w:before="0" w:line="240" w:lineRule="auto"/>
      <w:ind w:firstLine="0" w:left="0" w:right="0"/>
      <w:jc w:val="center"/>
    </w:pPr>
    <w:rPr>
      <w:rFonts w:ascii="PT Astra Serif" w:hAnsi="PT Astra Serif"/>
      <w:color w:val="000000"/>
      <w:spacing w:val="0"/>
      <w:sz w:val="28"/>
    </w:rPr>
  </w:style>
  <w:style w:styleId="Style_42_ch" w:type="character">
    <w:name w:val="Standard"/>
    <w:link w:val="Style_42"/>
    <w:rPr>
      <w:rFonts w:ascii="PT Astra Serif" w:hAnsi="PT Astra Serif"/>
      <w:color w:val="000000"/>
      <w:spacing w:val="0"/>
      <w:sz w:val="28"/>
    </w:rPr>
  </w:style>
  <w:style w:styleId="Style_43" w:type="paragraph">
    <w:name w:val="Подзаголовок Знак"/>
    <w:basedOn w:val="Style_10"/>
    <w:link w:val="Style_43_ch"/>
    <w:rPr>
      <w:rFonts w:ascii="XO Thames" w:hAnsi="XO Thames"/>
      <w:i w:val="1"/>
      <w:color w:val="000000"/>
      <w:sz w:val="24"/>
    </w:rPr>
  </w:style>
  <w:style w:styleId="Style_43_ch" w:type="character">
    <w:name w:val="Подзаголовок Знак"/>
    <w:basedOn w:val="Style_10_ch"/>
    <w:link w:val="Style_43"/>
    <w:rPr>
      <w:rFonts w:ascii="XO Thames" w:hAnsi="XO Thames"/>
      <w:i w:val="1"/>
      <w:color w:val="000000"/>
      <w:sz w:val="24"/>
    </w:rPr>
  </w:style>
  <w:style w:styleId="Style_44" w:type="paragraph">
    <w:name w:val="Оглавление 1 Знак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4_ch" w:type="character">
    <w:name w:val="Оглавление 1 Знак"/>
    <w:link w:val="Style_44"/>
    <w:rPr>
      <w:rFonts w:ascii="XO Thames" w:hAnsi="XO Thames"/>
      <w:b w:val="1"/>
      <w:color w:val="000000"/>
      <w:spacing w:val="0"/>
      <w:sz w:val="28"/>
    </w:rPr>
  </w:style>
  <w:style w:styleId="Style_45" w:type="paragraph">
    <w:name w:val="Contents 5"/>
    <w:link w:val="Style_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5_ch" w:type="character">
    <w:name w:val="Contents 5"/>
    <w:link w:val="Style_45"/>
    <w:rPr>
      <w:rFonts w:ascii="XO Thames" w:hAnsi="XO Thames"/>
      <w:color w:val="000000"/>
      <w:spacing w:val="0"/>
      <w:sz w:val="28"/>
    </w:rPr>
  </w:style>
  <w:style w:styleId="Style_46" w:type="paragraph">
    <w:name w:val="Contents 6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6_ch" w:type="character">
    <w:name w:val="Contents 6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toc 3"/>
    <w:next w:val="Style_3"/>
    <w:link w:val="Style_47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47_ch" w:type="character">
    <w:name w:val="toc 3"/>
    <w:link w:val="Style_47"/>
    <w:rPr>
      <w:rFonts w:ascii="XO Thames" w:hAnsi="XO Thames"/>
      <w:color w:val="000000"/>
      <w:spacing w:val="0"/>
      <w:sz w:val="28"/>
    </w:rPr>
  </w:style>
  <w:style w:styleId="Style_48" w:type="paragraph">
    <w:name w:val="Нижний колонтитул Знак1"/>
    <w:basedOn w:val="Style_34"/>
    <w:link w:val="Style_48_ch"/>
    <w:rPr>
      <w:rFonts w:asciiTheme="minorAscii" w:hAnsiTheme="minorHAnsi"/>
      <w:color w:val="000000"/>
      <w:sz w:val="22"/>
    </w:rPr>
  </w:style>
  <w:style w:styleId="Style_48_ch" w:type="character">
    <w:name w:val="Нижний колонтитул Знак1"/>
    <w:basedOn w:val="Style_34_ch"/>
    <w:link w:val="Style_48"/>
    <w:rPr>
      <w:rFonts w:asciiTheme="minorAscii" w:hAnsiTheme="minorHAnsi"/>
      <w:color w:val="000000"/>
      <w:sz w:val="22"/>
    </w:rPr>
  </w:style>
  <w:style w:styleId="Style_49" w:type="paragraph">
    <w:name w:val="heading 5"/>
    <w:next w:val="Style_3"/>
    <w:link w:val="Style_49_ch"/>
    <w:pPr>
      <w:widowControl w:val="1"/>
      <w:spacing w:after="0" w:before="0" w:line="240" w:lineRule="auto"/>
      <w:ind w:firstLine="0" w:left="0" w:right="0"/>
      <w:jc w:val="left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9_ch" w:type="character">
    <w:name w:val="heading 5"/>
    <w:link w:val="Style_49"/>
    <w:rPr>
      <w:rFonts w:ascii="XO Thames" w:hAnsi="XO Thames"/>
      <w:b w:val="1"/>
      <w:color w:val="000000"/>
      <w:spacing w:val="0"/>
      <w:sz w:val="22"/>
    </w:rPr>
  </w:style>
  <w:style w:styleId="Style_50" w:type="paragraph">
    <w:name w:val="Оглавление 8 Знак"/>
    <w:link w:val="Style_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0_ch" w:type="character">
    <w:name w:val="Оглавление 8 Знак"/>
    <w:link w:val="Style_50"/>
    <w:rPr>
      <w:rFonts w:ascii="XO Thames" w:hAnsi="XO Thames"/>
      <w:color w:val="000000"/>
      <w:spacing w:val="0"/>
      <w:sz w:val="28"/>
    </w:rPr>
  </w:style>
  <w:style w:styleId="Style_51" w:type="paragraph">
    <w:name w:val="Заголовок 2 Знак"/>
    <w:basedOn w:val="Style_10"/>
    <w:link w:val="Style_51_ch"/>
    <w:rPr>
      <w:rFonts w:ascii="XO Thames" w:hAnsi="XO Thames"/>
      <w:b w:val="1"/>
      <w:color w:val="000000"/>
      <w:sz w:val="28"/>
    </w:rPr>
  </w:style>
  <w:style w:styleId="Style_51_ch" w:type="character">
    <w:name w:val="Заголовок 2 Знак"/>
    <w:basedOn w:val="Style_10_ch"/>
    <w:link w:val="Style_51"/>
    <w:rPr>
      <w:rFonts w:ascii="XO Thames" w:hAnsi="XO Thames"/>
      <w:b w:val="1"/>
      <w:color w:val="000000"/>
      <w:sz w:val="28"/>
    </w:rPr>
  </w:style>
  <w:style w:styleId="Style_52" w:type="paragraph">
    <w:name w:val="Internet link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52_ch" w:type="character">
    <w:name w:val="Internet link"/>
    <w:link w:val="Style_52"/>
    <w:rPr>
      <w:rFonts w:ascii="Calibri" w:hAnsi="Calibri"/>
      <w:color w:val="0000FF"/>
      <w:spacing w:val="0"/>
      <w:sz w:val="22"/>
      <w:u w:val="single"/>
    </w:rPr>
  </w:style>
  <w:style w:styleId="Style_53" w:type="paragraph">
    <w:name w:val="Text body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53_ch" w:type="character">
    <w:name w:val="Text body"/>
    <w:link w:val="Style_53"/>
    <w:rPr>
      <w:rFonts w:ascii="Times New Roman" w:hAnsi="Times New Roman"/>
      <w:color w:val="000000"/>
      <w:spacing w:val="0"/>
      <w:sz w:val="24"/>
    </w:rPr>
  </w:style>
  <w:style w:styleId="Style_54" w:type="paragraph">
    <w:name w:val="heading 5"/>
    <w:link w:val="Style_54_ch"/>
    <w:uiPriority w:val="9"/>
    <w:qFormat/>
    <w:pPr>
      <w:ind/>
      <w:outlineLvl w:val="4"/>
    </w:pPr>
    <w:rPr>
      <w:rFonts w:ascii="XO Thames" w:hAnsi="XO Thames"/>
      <w:b w:val="1"/>
      <w:color w:val="000000"/>
      <w:sz w:val="22"/>
    </w:rPr>
  </w:style>
  <w:style w:styleId="Style_54_ch" w:type="character">
    <w:name w:val="heading 5"/>
    <w:link w:val="Style_54"/>
    <w:rPr>
      <w:rFonts w:ascii="XO Thames" w:hAnsi="XO Thames"/>
      <w:b w:val="1"/>
      <w:color w:val="000000"/>
      <w:sz w:val="22"/>
    </w:rPr>
  </w:style>
  <w:style w:styleId="Style_55" w:type="paragraph">
    <w:name w:val="Название объекта Знак"/>
    <w:basedOn w:val="Style_34"/>
    <w:link w:val="Style_55_ch"/>
    <w:rPr>
      <w:rFonts w:ascii="PT Astra Serif" w:hAnsi="PT Astra Serif"/>
      <w:i w:val="1"/>
      <w:color w:val="000000"/>
      <w:sz w:val="24"/>
    </w:rPr>
  </w:style>
  <w:style w:styleId="Style_55_ch" w:type="character">
    <w:name w:val="Название объекта Знак"/>
    <w:basedOn w:val="Style_34_ch"/>
    <w:link w:val="Style_55"/>
    <w:rPr>
      <w:rFonts w:ascii="PT Astra Serif" w:hAnsi="PT Astra Serif"/>
      <w:i w:val="1"/>
      <w:color w:val="000000"/>
      <w:sz w:val="24"/>
    </w:rPr>
  </w:style>
  <w:style w:styleId="Style_56" w:type="paragraph">
    <w:name w:val="index heading"/>
    <w:basedOn w:val="Style_3"/>
    <w:link w:val="Style_56_ch"/>
    <w:pPr>
      <w:widowControl w:val="0"/>
      <w:spacing w:after="0" w:before="0" w:line="240" w:lineRule="auto"/>
      <w:ind/>
    </w:pPr>
    <w:rPr>
      <w:rFonts w:ascii="PT Astra Serif" w:hAnsi="PT Astra Serif"/>
      <w:color w:val="000000"/>
      <w:sz w:val="24"/>
    </w:rPr>
  </w:style>
  <w:style w:styleId="Style_56_ch" w:type="character">
    <w:name w:val="index heading"/>
    <w:basedOn w:val="Style_3_ch"/>
    <w:link w:val="Style_56"/>
    <w:rPr>
      <w:rFonts w:ascii="PT Astra Serif" w:hAnsi="PT Astra Serif"/>
      <w:color w:val="000000"/>
      <w:sz w:val="24"/>
    </w:rPr>
  </w:style>
  <w:style w:styleId="Style_57" w:type="paragraph">
    <w:name w:val="Contents 9"/>
    <w:link w:val="Style_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7_ch" w:type="character">
    <w:name w:val="Contents 9"/>
    <w:link w:val="Style_57"/>
    <w:rPr>
      <w:rFonts w:ascii="XO Thames" w:hAnsi="XO Thames"/>
      <w:color w:val="000000"/>
      <w:spacing w:val="0"/>
      <w:sz w:val="28"/>
    </w:rPr>
  </w:style>
  <w:style w:styleId="Style_8" w:type="paragraph">
    <w:name w:val="heading 1"/>
    <w:next w:val="Style_3"/>
    <w:link w:val="Style_8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8_ch" w:type="character">
    <w:name w:val="heading 1"/>
    <w:link w:val="Style_8"/>
    <w:rPr>
      <w:rFonts w:ascii="XO Thames" w:hAnsi="XO Thames"/>
      <w:b w:val="1"/>
      <w:color w:val="000000"/>
      <w:spacing w:val="0"/>
      <w:sz w:val="32"/>
    </w:rPr>
  </w:style>
  <w:style w:styleId="Style_58" w:type="paragraph">
    <w:name w:val="Основной текст Знак"/>
    <w:basedOn w:val="Style_10"/>
    <w:link w:val="Style_58_ch"/>
    <w:rPr>
      <w:rFonts w:ascii="Times New Roman" w:hAnsi="Times New Roman"/>
      <w:sz w:val="24"/>
    </w:rPr>
  </w:style>
  <w:style w:styleId="Style_58_ch" w:type="character">
    <w:name w:val="Основной текст Знак"/>
    <w:basedOn w:val="Style_10_ch"/>
    <w:link w:val="Style_58"/>
    <w:rPr>
      <w:rFonts w:ascii="Times New Roman" w:hAnsi="Times New Roman"/>
      <w:sz w:val="24"/>
    </w:rPr>
  </w:style>
  <w:style w:styleId="Style_59" w:type="paragraph">
    <w:name w:val="Нижний колонтитул Знак"/>
    <w:basedOn w:val="Style_10"/>
    <w:link w:val="Style_59_ch"/>
  </w:style>
  <w:style w:styleId="Style_59_ch" w:type="character">
    <w:name w:val="Нижний колонтитул Знак"/>
    <w:basedOn w:val="Style_10_ch"/>
    <w:link w:val="Style_59"/>
  </w:style>
  <w:style w:styleId="Style_60" w:type="paragraph">
    <w:name w:val="Оглавление 5 Знак"/>
    <w:link w:val="Style_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0_ch" w:type="character">
    <w:name w:val="Оглавление 5 Знак"/>
    <w:link w:val="Style_60"/>
    <w:rPr>
      <w:rFonts w:ascii="XO Thames" w:hAnsi="XO Thames"/>
      <w:color w:val="000000"/>
      <w:spacing w:val="0"/>
      <w:sz w:val="28"/>
    </w:rPr>
  </w:style>
  <w:style w:styleId="Style_61" w:type="paragraph">
    <w:name w:val="Hyperlink"/>
    <w:link w:val="Style_61_ch"/>
    <w:rPr>
      <w:color w:val="0000FF"/>
      <w:u w:val="single"/>
    </w:rPr>
  </w:style>
  <w:style w:styleId="Style_61_ch" w:type="character">
    <w:name w:val="Hyperlink"/>
    <w:link w:val="Style_61"/>
    <w:rPr>
      <w:color w:val="0000FF"/>
      <w:u w:val="single"/>
    </w:rPr>
  </w:style>
  <w:style w:styleId="Style_62" w:type="paragraph">
    <w:name w:val="Footnote"/>
    <w:link w:val="Style_6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62_ch" w:type="character">
    <w:name w:val="Footnote"/>
    <w:link w:val="Style_62"/>
    <w:rPr>
      <w:rFonts w:ascii="XO Thames" w:hAnsi="XO Thames"/>
      <w:color w:val="000000"/>
      <w:spacing w:val="0"/>
      <w:sz w:val="22"/>
    </w:rPr>
  </w:style>
  <w:style w:styleId="Style_63" w:type="paragraph">
    <w:name w:val="toc 1"/>
    <w:next w:val="Style_3"/>
    <w:link w:val="Style_63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63_ch" w:type="character">
    <w:name w:val="toc 1"/>
    <w:link w:val="Style_63"/>
    <w:rPr>
      <w:rFonts w:ascii="XO Thames" w:hAnsi="XO Thames"/>
      <w:b w:val="1"/>
      <w:color w:val="000000"/>
      <w:spacing w:val="0"/>
      <w:sz w:val="28"/>
    </w:rPr>
  </w:style>
  <w:style w:styleId="Style_64" w:type="paragraph">
    <w:name w:val="Heading 3"/>
    <w:link w:val="Style_64_ch"/>
    <w:rPr>
      <w:rFonts w:ascii="XO Thames" w:hAnsi="XO Thames"/>
      <w:b w:val="1"/>
      <w:color w:val="000000"/>
      <w:spacing w:val="0"/>
      <w:sz w:val="26"/>
    </w:rPr>
  </w:style>
  <w:style w:styleId="Style_64_ch" w:type="character">
    <w:name w:val="Heading 3"/>
    <w:link w:val="Style_64"/>
    <w:rPr>
      <w:rFonts w:ascii="XO Thames" w:hAnsi="XO Thames"/>
      <w:b w:val="1"/>
      <w:color w:val="000000"/>
      <w:spacing w:val="0"/>
      <w:sz w:val="26"/>
    </w:rPr>
  </w:style>
  <w:style w:styleId="Style_65" w:type="paragraph">
    <w:name w:val="Header and Footer"/>
    <w:link w:val="Style_65_ch"/>
    <w:rPr>
      <w:rFonts w:ascii="XO Thames" w:hAnsi="XO Thames"/>
      <w:color w:val="000000"/>
      <w:sz w:val="28"/>
    </w:rPr>
  </w:style>
  <w:style w:styleId="Style_65_ch" w:type="character">
    <w:name w:val="Header and Footer"/>
    <w:link w:val="Style_65"/>
    <w:rPr>
      <w:rFonts w:ascii="XO Thames" w:hAnsi="XO Thames"/>
      <w:color w:val="000000"/>
      <w:sz w:val="28"/>
    </w:rPr>
  </w:style>
  <w:style w:styleId="Style_66" w:type="paragraph">
    <w:name w:val="Contents 7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6_ch" w:type="character">
    <w:name w:val="Contents 7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Оглавление 4 Знак"/>
    <w:link w:val="Style_6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7_ch" w:type="character">
    <w:name w:val="Оглавление 4 Знак"/>
    <w:link w:val="Style_67"/>
    <w:rPr>
      <w:rFonts w:ascii="XO Thames" w:hAnsi="XO Thames"/>
      <w:color w:val="000000"/>
      <w:spacing w:val="0"/>
      <w:sz w:val="28"/>
    </w:rPr>
  </w:style>
  <w:style w:styleId="Style_68" w:type="paragraph">
    <w:name w:val="toc 9"/>
    <w:next w:val="Style_3"/>
    <w:link w:val="Style_68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68_ch" w:type="character">
    <w:name w:val="toc 9"/>
    <w:link w:val="Style_68"/>
    <w:rPr>
      <w:rFonts w:ascii="XO Thames" w:hAnsi="XO Thames"/>
      <w:color w:val="000000"/>
      <w:spacing w:val="0"/>
      <w:sz w:val="28"/>
    </w:rPr>
  </w:style>
  <w:style w:styleId="Style_69" w:type="paragraph">
    <w:name w:val="Caption"/>
    <w:basedOn w:val="Style_3"/>
    <w:link w:val="Style_69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69_ch" w:type="character">
    <w:name w:val="Caption"/>
    <w:basedOn w:val="Style_3_ch"/>
    <w:link w:val="Style_69"/>
    <w:rPr>
      <w:rFonts w:ascii="PT Astra Serif" w:hAnsi="PT Astra Serif"/>
      <w:i w:val="1"/>
      <w:sz w:val="24"/>
    </w:rPr>
  </w:style>
  <w:style w:styleId="Style_70" w:type="paragraph">
    <w:name w:val="List"/>
    <w:basedOn w:val="Style_53"/>
    <w:link w:val="Style_70_ch"/>
    <w:rPr>
      <w:rFonts w:ascii="PT Astra Serif" w:hAnsi="PT Astra Serif"/>
    </w:rPr>
  </w:style>
  <w:style w:styleId="Style_70_ch" w:type="character">
    <w:name w:val="List"/>
    <w:basedOn w:val="Style_53_ch"/>
    <w:link w:val="Style_70"/>
    <w:rPr>
      <w:rFonts w:ascii="PT Astra Serif" w:hAnsi="PT Astra Serif"/>
    </w:rPr>
  </w:style>
  <w:style w:styleId="Style_1" w:type="paragraph">
    <w:name w:val="Header"/>
    <w:basedOn w:val="Style_3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71" w:type="paragraph">
    <w:name w:val="toc 8"/>
    <w:next w:val="Style_3"/>
    <w:link w:val="Style_71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71_ch" w:type="character">
    <w:name w:val="toc 8"/>
    <w:link w:val="Style_71"/>
    <w:rPr>
      <w:rFonts w:ascii="XO Thames" w:hAnsi="XO Thames"/>
      <w:color w:val="000000"/>
      <w:spacing w:val="0"/>
      <w:sz w:val="28"/>
    </w:rPr>
  </w:style>
  <w:style w:styleId="Style_72" w:type="paragraph">
    <w:name w:val="Оглавление 9 Знак"/>
    <w:link w:val="Style_7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2_ch" w:type="character">
    <w:name w:val="Оглавление 9 Знак"/>
    <w:link w:val="Style_72"/>
    <w:rPr>
      <w:rFonts w:ascii="XO Thames" w:hAnsi="XO Thames"/>
      <w:color w:val="000000"/>
      <w:spacing w:val="0"/>
      <w:sz w:val="28"/>
    </w:rPr>
  </w:style>
  <w:style w:styleId="Style_73" w:type="paragraph">
    <w:name w:val="Title"/>
    <w:next w:val="Style_3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73_ch" w:type="character">
    <w:name w:val="Title"/>
    <w:link w:val="Style_73"/>
    <w:rPr>
      <w:rFonts w:ascii="XO Thames" w:hAnsi="XO Thames"/>
      <w:b w:val="1"/>
      <w:caps w:val="1"/>
      <w:color w:val="000000"/>
      <w:spacing w:val="0"/>
      <w:sz w:val="40"/>
    </w:rPr>
  </w:style>
  <w:style w:styleId="Style_74" w:type="paragraph">
    <w:name w:val="Header"/>
    <w:link w:val="Style_74_ch"/>
  </w:style>
  <w:style w:styleId="Style_74_ch" w:type="character">
    <w:name w:val="Header"/>
    <w:link w:val="Style_74"/>
  </w:style>
  <w:style w:styleId="Style_75" w:type="paragraph">
    <w:name w:val="Заголовок 3 Знак"/>
    <w:basedOn w:val="Style_10"/>
    <w:link w:val="Style_75_ch"/>
    <w:rPr>
      <w:rFonts w:ascii="XO Thames" w:hAnsi="XO Thames"/>
      <w:b w:val="1"/>
      <w:color w:val="000000"/>
      <w:sz w:val="26"/>
    </w:rPr>
  </w:style>
  <w:style w:styleId="Style_75_ch" w:type="character">
    <w:name w:val="Заголовок 3 Знак"/>
    <w:basedOn w:val="Style_10_ch"/>
    <w:link w:val="Style_75"/>
    <w:rPr>
      <w:rFonts w:ascii="XO Thames" w:hAnsi="XO Thames"/>
      <w:b w:val="1"/>
      <w:color w:val="000000"/>
      <w:sz w:val="26"/>
    </w:rPr>
  </w:style>
  <w:style w:styleId="Style_76" w:type="paragraph">
    <w:name w:val="Contents 1"/>
    <w:link w:val="Style_7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76_ch" w:type="character">
    <w:name w:val="Contents 1"/>
    <w:link w:val="Style_76"/>
    <w:rPr>
      <w:rFonts w:ascii="XO Thames" w:hAnsi="XO Thames"/>
      <w:b w:val="1"/>
      <w:color w:val="000000"/>
      <w:spacing w:val="0"/>
      <w:sz w:val="28"/>
    </w:rPr>
  </w:style>
  <w:style w:styleId="Style_77" w:type="paragraph">
    <w:name w:val="Заголовок"/>
    <w:basedOn w:val="Style_3"/>
    <w:next w:val="Style_78"/>
    <w:link w:val="Style_77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77_ch" w:type="character">
    <w:name w:val="Заголовок"/>
    <w:basedOn w:val="Style_3_ch"/>
    <w:link w:val="Style_77"/>
    <w:rPr>
      <w:rFonts w:ascii="PT Astra Serif" w:hAnsi="PT Astra Serif"/>
      <w:sz w:val="28"/>
    </w:rPr>
  </w:style>
  <w:style w:styleId="Style_79" w:type="paragraph">
    <w:name w:val="Список Знак"/>
    <w:basedOn w:val="Style_78"/>
    <w:link w:val="Style_79_ch"/>
    <w:rPr>
      <w:rFonts w:ascii="PT Astra Serif" w:hAnsi="PT Astra Serif"/>
      <w:sz w:val="24"/>
    </w:rPr>
  </w:style>
  <w:style w:styleId="Style_79_ch" w:type="character">
    <w:name w:val="Список Знак"/>
    <w:basedOn w:val="Style_78_ch"/>
    <w:link w:val="Style_79"/>
    <w:rPr>
      <w:rFonts w:ascii="PT Astra Serif" w:hAnsi="PT Astra Serif"/>
      <w:sz w:val="24"/>
    </w:rPr>
  </w:style>
  <w:style w:styleId="Style_80" w:type="paragraph">
    <w:name w:val="toc 5"/>
    <w:next w:val="Style_3"/>
    <w:link w:val="Style_80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80_ch" w:type="character">
    <w:name w:val="toc 5"/>
    <w:link w:val="Style_80"/>
    <w:rPr>
      <w:rFonts w:ascii="XO Thames" w:hAnsi="XO Thames"/>
      <w:color w:val="000000"/>
      <w:spacing w:val="0"/>
      <w:sz w:val="28"/>
    </w:rPr>
  </w:style>
  <w:style w:styleId="Style_81" w:type="paragraph">
    <w:name w:val="Выделение1"/>
    <w:basedOn w:val="Style_82"/>
    <w:link w:val="Style_81_ch"/>
    <w:rPr>
      <w:i w:val="1"/>
    </w:rPr>
  </w:style>
  <w:style w:styleId="Style_81_ch" w:type="character">
    <w:name w:val="Выделение1"/>
    <w:basedOn w:val="Style_82_ch"/>
    <w:link w:val="Style_81"/>
    <w:rPr>
      <w:i w:val="1"/>
    </w:rPr>
  </w:style>
  <w:style w:styleId="Style_83" w:type="paragraph">
    <w:name w:val="heading 4"/>
    <w:next w:val="Style_3"/>
    <w:link w:val="Style_83_ch"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83_ch" w:type="character">
    <w:name w:val="heading 4"/>
    <w:link w:val="Style_83"/>
    <w:rPr>
      <w:rFonts w:ascii="XO Thames" w:hAnsi="XO Thames"/>
      <w:b w:val="1"/>
      <w:color w:val="000000"/>
      <w:spacing w:val="0"/>
      <w:sz w:val="24"/>
    </w:rPr>
  </w:style>
  <w:style w:styleId="Style_34" w:type="paragraph">
    <w:name w:val="Обычный1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4_ch" w:type="character">
    <w:name w:val="Обычный1"/>
    <w:link w:val="Style_34"/>
    <w:rPr>
      <w:rFonts w:asciiTheme="minorAscii" w:hAnsiTheme="minorHAnsi"/>
      <w:color w:val="000000"/>
      <w:spacing w:val="0"/>
      <w:sz w:val="22"/>
    </w:rPr>
  </w:style>
  <w:style w:styleId="Style_84" w:type="paragraph">
    <w:name w:val="Указатель Знак"/>
    <w:basedOn w:val="Style_34"/>
    <w:link w:val="Style_84_ch"/>
    <w:rPr>
      <w:rFonts w:ascii="PT Astra Serif" w:hAnsi="PT Astra Serif"/>
      <w:color w:val="000000"/>
      <w:sz w:val="24"/>
    </w:rPr>
  </w:style>
  <w:style w:styleId="Style_84_ch" w:type="character">
    <w:name w:val="Указатель Знак"/>
    <w:basedOn w:val="Style_34_ch"/>
    <w:link w:val="Style_84"/>
    <w:rPr>
      <w:rFonts w:ascii="PT Astra Serif" w:hAnsi="PT Astra Serif"/>
      <w:color w:val="000000"/>
      <w:sz w:val="24"/>
    </w:rPr>
  </w:style>
  <w:style w:styleId="Style_85" w:type="paragraph">
    <w:name w:val="Contents 8"/>
    <w:link w:val="Style_8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5_ch" w:type="character">
    <w:name w:val="Contents 8"/>
    <w:link w:val="Style_85"/>
    <w:rPr>
      <w:rFonts w:ascii="XO Thames" w:hAnsi="XO Thames"/>
      <w:color w:val="000000"/>
      <w:spacing w:val="0"/>
      <w:sz w:val="28"/>
    </w:rPr>
  </w:style>
  <w:style w:styleId="Style_78" w:type="paragraph">
    <w:name w:val="Body Text"/>
    <w:basedOn w:val="Style_3"/>
    <w:link w:val="Style_78_ch"/>
    <w:pPr>
      <w:widowControl w:val="0"/>
      <w:spacing w:after="140" w:before="0"/>
      <w:ind/>
    </w:pPr>
    <w:rPr>
      <w:rFonts w:ascii="Times New Roman" w:hAnsi="Times New Roman"/>
      <w:sz w:val="24"/>
    </w:rPr>
  </w:style>
  <w:style w:styleId="Style_78_ch" w:type="character">
    <w:name w:val="Body Text"/>
    <w:basedOn w:val="Style_3_ch"/>
    <w:link w:val="Style_78"/>
    <w:rPr>
      <w:rFonts w:ascii="Times New Roman" w:hAnsi="Times New Roman"/>
      <w:sz w:val="24"/>
    </w:rPr>
  </w:style>
  <w:style w:styleId="Style_86" w:type="paragraph">
    <w:name w:val="s_16"/>
    <w:basedOn w:val="Style_3"/>
    <w:link w:val="Style_86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6_ch" w:type="character">
    <w:name w:val="s_16"/>
    <w:basedOn w:val="Style_3_ch"/>
    <w:link w:val="Style_86"/>
    <w:rPr>
      <w:rFonts w:ascii="Times New Roman" w:hAnsi="Times New Roman"/>
      <w:sz w:val="24"/>
    </w:rPr>
  </w:style>
  <w:style w:styleId="Style_87" w:type="paragraph">
    <w:name w:val="List"/>
    <w:basedOn w:val="Style_53"/>
    <w:link w:val="Style_87_ch"/>
    <w:rPr>
      <w:rFonts w:ascii="PT Astra Serif" w:hAnsi="PT Astra Serif"/>
    </w:rPr>
  </w:style>
  <w:style w:styleId="Style_87_ch" w:type="character">
    <w:name w:val="List"/>
    <w:basedOn w:val="Style_53_ch"/>
    <w:link w:val="Style_87"/>
    <w:rPr>
      <w:rFonts w:ascii="PT Astra Serif" w:hAnsi="PT Astra Serif"/>
    </w:rPr>
  </w:style>
  <w:style w:styleId="Style_88" w:type="paragraph">
    <w:name w:val="Caption"/>
    <w:link w:val="Style_88_ch"/>
    <w:rPr>
      <w:rFonts w:ascii="PT Astra Serif" w:hAnsi="PT Astra Serif"/>
      <w:i w:val="1"/>
      <w:sz w:val="24"/>
    </w:rPr>
  </w:style>
  <w:style w:styleId="Style_88_ch" w:type="character">
    <w:name w:val="Caption"/>
    <w:link w:val="Style_88"/>
    <w:rPr>
      <w:rFonts w:ascii="PT Astra Serif" w:hAnsi="PT Astra Serif"/>
      <w:i w:val="1"/>
      <w:sz w:val="24"/>
    </w:rPr>
  </w:style>
  <w:style w:styleId="Style_89" w:type="paragraph">
    <w:name w:val="Subtitle"/>
    <w:next w:val="Style_3"/>
    <w:link w:val="Style_89_ch"/>
    <w:uiPriority w:val="11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89_ch" w:type="character">
    <w:name w:val="Subtitle"/>
    <w:link w:val="Style_89"/>
    <w:rPr>
      <w:rFonts w:ascii="XO Thames" w:hAnsi="XO Thames"/>
      <w:i w:val="1"/>
      <w:color w:val="000000"/>
      <w:spacing w:val="0"/>
      <w:sz w:val="24"/>
    </w:rPr>
  </w:style>
  <w:style w:styleId="Style_90" w:type="paragraph">
    <w:name w:val="Указатель"/>
    <w:basedOn w:val="Style_3"/>
    <w:link w:val="Style_90_ch"/>
    <w:rPr>
      <w:rFonts w:ascii="PT Astra Serif" w:hAnsi="PT Astra Serif"/>
    </w:rPr>
  </w:style>
  <w:style w:styleId="Style_90_ch" w:type="character">
    <w:name w:val="Указатель"/>
    <w:basedOn w:val="Style_3_ch"/>
    <w:link w:val="Style_90"/>
    <w:rPr>
      <w:rFonts w:ascii="PT Astra Serif" w:hAnsi="PT Astra Serif"/>
    </w:rPr>
  </w:style>
  <w:style w:styleId="Style_82" w:type="paragraph">
    <w:name w:val="Основной шрифт абзаца1"/>
    <w:link w:val="Style_8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82_ch" w:type="character">
    <w:name w:val="Основной шрифт абзаца1"/>
    <w:link w:val="Style_82"/>
    <w:rPr>
      <w:rFonts w:ascii="Calibri" w:hAnsi="Calibri"/>
      <w:color w:val="000000"/>
      <w:spacing w:val="0"/>
      <w:sz w:val="22"/>
    </w:rPr>
  </w:style>
  <w:style w:styleId="Style_91" w:type="paragraph">
    <w:name w:val="Heading 1"/>
    <w:link w:val="Style_91_ch"/>
    <w:rPr>
      <w:rFonts w:ascii="XO Thames" w:hAnsi="XO Thames"/>
      <w:b w:val="1"/>
      <w:color w:val="000000"/>
      <w:sz w:val="32"/>
    </w:rPr>
  </w:style>
  <w:style w:styleId="Style_91_ch" w:type="character">
    <w:name w:val="Heading 1"/>
    <w:link w:val="Style_91"/>
    <w:rPr>
      <w:rFonts w:ascii="XO Thames" w:hAnsi="XO Thames"/>
      <w:b w:val="1"/>
      <w:color w:val="000000"/>
      <w:sz w:val="32"/>
    </w:rPr>
  </w:style>
  <w:style w:styleId="Style_92" w:type="paragraph">
    <w:name w:val="Title"/>
    <w:link w:val="Style_92_ch"/>
    <w:uiPriority w:val="10"/>
    <w:qFormat/>
    <w:rPr>
      <w:rFonts w:ascii="XO Thames" w:hAnsi="XO Thames"/>
      <w:b w:val="1"/>
      <w:caps w:val="1"/>
      <w:color w:val="000000"/>
      <w:sz w:val="40"/>
    </w:rPr>
  </w:style>
  <w:style w:styleId="Style_92_ch" w:type="character">
    <w:name w:val="Title"/>
    <w:link w:val="Style_92"/>
    <w:rPr>
      <w:rFonts w:ascii="XO Thames" w:hAnsi="XO Thames"/>
      <w:b w:val="1"/>
      <w:caps w:val="1"/>
      <w:color w:val="000000"/>
      <w:sz w:val="40"/>
    </w:rPr>
  </w:style>
  <w:style w:styleId="Style_93" w:type="paragraph">
    <w:name w:val="Оглавление 6 Знак"/>
    <w:link w:val="Style_9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3_ch" w:type="character">
    <w:name w:val="Оглавление 6 Знак"/>
    <w:link w:val="Style_93"/>
    <w:rPr>
      <w:rFonts w:ascii="XO Thames" w:hAnsi="XO Thames"/>
      <w:color w:val="000000"/>
      <w:spacing w:val="0"/>
      <w:sz w:val="28"/>
    </w:rPr>
  </w:style>
  <w:style w:styleId="Style_94" w:type="paragraph">
    <w:name w:val="Оглавление 2 Знак"/>
    <w:link w:val="Style_9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4_ch" w:type="character">
    <w:name w:val="Оглавление 2 Знак"/>
    <w:link w:val="Style_94"/>
    <w:rPr>
      <w:rFonts w:ascii="XO Thames" w:hAnsi="XO Thames"/>
      <w:color w:val="000000"/>
      <w:spacing w:val="0"/>
      <w:sz w:val="28"/>
    </w:rPr>
  </w:style>
  <w:style w:styleId="Style_95" w:type="paragraph">
    <w:name w:val="heading 4"/>
    <w:link w:val="Style_95_ch"/>
    <w:uiPriority w:val="9"/>
    <w:qFormat/>
    <w:pPr>
      <w:ind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95_ch" w:type="character">
    <w:name w:val="heading 4"/>
    <w:link w:val="Style_95"/>
    <w:rPr>
      <w:rFonts w:ascii="XO Thames" w:hAnsi="XO Thames"/>
      <w:b w:val="1"/>
      <w:color w:val="000000"/>
      <w:spacing w:val="0"/>
      <w:sz w:val="24"/>
    </w:rPr>
  </w:style>
  <w:style w:styleId="Style_96" w:type="paragraph">
    <w:name w:val="heading 2"/>
    <w:link w:val="Style_96_ch"/>
    <w:uiPriority w:val="9"/>
    <w:qFormat/>
    <w:pPr>
      <w:ind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96_ch" w:type="character">
    <w:name w:val="heading 2"/>
    <w:link w:val="Style_96"/>
    <w:rPr>
      <w:rFonts w:ascii="XO Thames" w:hAnsi="XO Thames"/>
      <w:b w:val="1"/>
      <w:color w:val="000000"/>
      <w:spacing w:val="0"/>
      <w:sz w:val="28"/>
    </w:rPr>
  </w:style>
  <w:style w:styleId="Style_97" w:type="paragraph">
    <w:name w:val="Заголовок 5 Знак"/>
    <w:basedOn w:val="Style_10"/>
    <w:link w:val="Style_97_ch"/>
    <w:rPr>
      <w:rFonts w:ascii="XO Thames" w:hAnsi="XO Thames"/>
      <w:b w:val="1"/>
      <w:color w:val="000000"/>
    </w:rPr>
  </w:style>
  <w:style w:styleId="Style_97_ch" w:type="character">
    <w:name w:val="Заголовок 5 Знак"/>
    <w:basedOn w:val="Style_10_ch"/>
    <w:link w:val="Style_97"/>
    <w:rPr>
      <w:rFonts w:ascii="XO Thames" w:hAnsi="XO Thames"/>
      <w:b w:val="1"/>
      <w:color w:val="000000"/>
    </w:r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Table Grid"/>
    <w:basedOn w:val="Style_4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26" Target="media/96.emf" Type="http://schemas.openxmlformats.org/officeDocument/2006/relationships/image"/>
  <Relationship Id="rId127" Target="media/97.emf" Type="http://schemas.openxmlformats.org/officeDocument/2006/relationships/image"/>
  <Relationship Id="rId63" Target="media/33.emf" Type="http://schemas.openxmlformats.org/officeDocument/2006/relationships/image"/>
  <Relationship Id="rId119" Target="media/89.emf" Type="http://schemas.openxmlformats.org/officeDocument/2006/relationships/image"/>
  <Relationship Id="rId83" Target="media/53.emf" Type="http://schemas.openxmlformats.org/officeDocument/2006/relationships/image"/>
  <Relationship Id="rId21" Target="header21.xml" Type="http://schemas.openxmlformats.org/officeDocument/2006/relationships/header"/>
  <Relationship Id="rId98" Target="media/68.emf" Type="http://schemas.openxmlformats.org/officeDocument/2006/relationships/image"/>
  <Relationship Id="rId85" Target="media/55.emf" Type="http://schemas.openxmlformats.org/officeDocument/2006/relationships/image"/>
  <Relationship Id="rId91" Target="media/61.emf" Type="http://schemas.openxmlformats.org/officeDocument/2006/relationships/image"/>
  <Relationship Id="rId100" Target="media/70.emf" Type="http://schemas.openxmlformats.org/officeDocument/2006/relationships/image"/>
  <Relationship Id="rId65" Target="media/35.emf" Type="http://schemas.openxmlformats.org/officeDocument/2006/relationships/image"/>
  <Relationship Id="rId72" Target="media/42.emf" Type="http://schemas.openxmlformats.org/officeDocument/2006/relationships/image"/>
  <Relationship Id="rId112" Target="media/82.emf" Type="http://schemas.openxmlformats.org/officeDocument/2006/relationships/image"/>
  <Relationship Id="rId106" Target="media/76.emf" Type="http://schemas.openxmlformats.org/officeDocument/2006/relationships/image"/>
  <Relationship Id="rId79" Target="media/49.emf" Type="http://schemas.openxmlformats.org/officeDocument/2006/relationships/image"/>
  <Relationship Id="rId10" Target="footer10.xml" Type="http://schemas.openxmlformats.org/officeDocument/2006/relationships/footer"/>
  <Relationship Id="rId80" Target="media/50.emf" Type="http://schemas.openxmlformats.org/officeDocument/2006/relationships/image"/>
  <Relationship Id="rId55" Target="media/25.emf" Type="http://schemas.openxmlformats.org/officeDocument/2006/relationships/image"/>
  <Relationship Id="rId109" Target="media/79.emf" Type="http://schemas.openxmlformats.org/officeDocument/2006/relationships/image"/>
  <Relationship Id="rId90" Target="media/60.emf" Type="http://schemas.openxmlformats.org/officeDocument/2006/relationships/image"/>
  <Relationship Id="rId33" Target="media/3.emf" Type="http://schemas.openxmlformats.org/officeDocument/2006/relationships/image"/>
  <Relationship Id="rId23" Target="header23.xml" Type="http://schemas.openxmlformats.org/officeDocument/2006/relationships/header"/>
  <Relationship Id="rId133" Target="webSettings.xml" Type="http://schemas.openxmlformats.org/officeDocument/2006/relationships/webSettings"/>
  <Relationship Id="rId110" Target="media/80.emf" Type="http://schemas.openxmlformats.org/officeDocument/2006/relationships/image"/>
  <Relationship Id="rId130" Target="settings.xml" Type="http://schemas.openxmlformats.org/officeDocument/2006/relationships/settings"/>
  <Relationship Id="rId36" Target="media/6.emf" Type="http://schemas.openxmlformats.org/officeDocument/2006/relationships/image"/>
  <Relationship Id="rId116" Target="media/86.emf" Type="http://schemas.openxmlformats.org/officeDocument/2006/relationships/image"/>
  <Relationship Id="rId41" Target="media/11.emf" Type="http://schemas.openxmlformats.org/officeDocument/2006/relationships/image"/>
  <Relationship Id="rId8" Target="footer8.xml" Type="http://schemas.openxmlformats.org/officeDocument/2006/relationships/footer"/>
  <Relationship Id="rId86" Target="media/56.emf" Type="http://schemas.openxmlformats.org/officeDocument/2006/relationships/image"/>
  <Relationship Id="rId53" Target="media/23.emf" Type="http://schemas.openxmlformats.org/officeDocument/2006/relationships/image"/>
  <Relationship Id="rId76" Target="media/46.emf" Type="http://schemas.openxmlformats.org/officeDocument/2006/relationships/image"/>
  <Relationship Id="rId59" Target="media/29.emf" Type="http://schemas.openxmlformats.org/officeDocument/2006/relationships/image"/>
  <Relationship Id="rId60" Target="media/30.emf" Type="http://schemas.openxmlformats.org/officeDocument/2006/relationships/image"/>
  <Relationship Id="rId24" Target="footer24.xml" Type="http://schemas.openxmlformats.org/officeDocument/2006/relationships/footer"/>
  <Relationship Id="rId113" Target="media/83.emf" Type="http://schemas.openxmlformats.org/officeDocument/2006/relationships/image"/>
  <Relationship Id="rId99" Target="media/69.emf" Type="http://schemas.openxmlformats.org/officeDocument/2006/relationships/image"/>
  <Relationship Id="rId92" Target="media/62.emf" Type="http://schemas.openxmlformats.org/officeDocument/2006/relationships/image"/>
  <Relationship Id="rId13" Target="header13.xml" Type="http://schemas.openxmlformats.org/officeDocument/2006/relationships/header"/>
  <Relationship Id="rId19" Target="header19.xml" Type="http://schemas.openxmlformats.org/officeDocument/2006/relationships/header"/>
  <Relationship Id="rId42" Target="media/12.emf" Type="http://schemas.openxmlformats.org/officeDocument/2006/relationships/image"/>
  <Relationship Id="rId57" Target="media/27.emf" Type="http://schemas.openxmlformats.org/officeDocument/2006/relationships/image"/>
  <Relationship Id="rId64" Target="media/34.emf" Type="http://schemas.openxmlformats.org/officeDocument/2006/relationships/image"/>
  <Relationship Id="rId62" Target="media/32.emf" Type="http://schemas.openxmlformats.org/officeDocument/2006/relationships/image"/>
  <Relationship Id="rId45" Target="media/15.emf" Type="http://schemas.openxmlformats.org/officeDocument/2006/relationships/image"/>
  <Relationship Id="rId97" Target="media/67.emf" Type="http://schemas.openxmlformats.org/officeDocument/2006/relationships/image"/>
  <Relationship Id="rId94" Target="media/64.emf" Type="http://schemas.openxmlformats.org/officeDocument/2006/relationships/image"/>
  <Relationship Id="rId28" Target="footer28.xml" Type="http://schemas.openxmlformats.org/officeDocument/2006/relationships/footer"/>
  <Relationship Id="rId40" Target="media/10.emf" Type="http://schemas.openxmlformats.org/officeDocument/2006/relationships/image"/>
  <Relationship Id="rId29" Target="header29.xml" Type="http://schemas.openxmlformats.org/officeDocument/2006/relationships/header"/>
  <Relationship Id="rId82" Target="media/52.emf" Type="http://schemas.openxmlformats.org/officeDocument/2006/relationships/image"/>
  <Relationship Id="rId26" Target="footer26.xml" Type="http://schemas.openxmlformats.org/officeDocument/2006/relationships/footer"/>
  <Relationship Id="rId108" Target="media/78.emf" Type="http://schemas.openxmlformats.org/officeDocument/2006/relationships/image"/>
  <Relationship Id="rId17" Target="header17.xml" Type="http://schemas.openxmlformats.org/officeDocument/2006/relationships/header"/>
  <Relationship Id="rId74" Target="media/44.emf" Type="http://schemas.openxmlformats.org/officeDocument/2006/relationships/image"/>
  <Relationship Id="rId46" Target="media/16.emf" Type="http://schemas.openxmlformats.org/officeDocument/2006/relationships/image"/>
  <Relationship Id="rId39" Target="media/9.emf" Type="http://schemas.openxmlformats.org/officeDocument/2006/relationships/image"/>
  <Relationship Id="rId122" Target="media/92.emf" Type="http://schemas.openxmlformats.org/officeDocument/2006/relationships/image"/>
  <Relationship Id="rId38" Target="media/8.emf" Type="http://schemas.openxmlformats.org/officeDocument/2006/relationships/image"/>
  <Relationship Id="rId25" Target="header25.xml" Type="http://schemas.openxmlformats.org/officeDocument/2006/relationships/header"/>
  <Relationship Id="rId30" Target="footer30.xml" Type="http://schemas.openxmlformats.org/officeDocument/2006/relationships/footer"/>
  <Relationship Id="rId69" Target="media/39.emf" Type="http://schemas.openxmlformats.org/officeDocument/2006/relationships/image"/>
  <Relationship Id="rId96" Target="media/66.emf" Type="http://schemas.openxmlformats.org/officeDocument/2006/relationships/image"/>
  <Relationship Id="rId124" Target="media/94.emf" Type="http://schemas.openxmlformats.org/officeDocument/2006/relationships/image"/>
  <Relationship Id="rId56" Target="media/26.emf" Type="http://schemas.openxmlformats.org/officeDocument/2006/relationships/image"/>
  <Relationship Id="rId50" Target="media/20.emf" Type="http://schemas.openxmlformats.org/officeDocument/2006/relationships/image"/>
  <Relationship Id="rId129" Target="fontTable.xml" Type="http://schemas.openxmlformats.org/officeDocument/2006/relationships/fontTable"/>
  <Relationship Id="rId3" Target="header3.xml" Type="http://schemas.openxmlformats.org/officeDocument/2006/relationships/header"/>
  <Relationship Id="rId117" Target="media/87.emf" Type="http://schemas.openxmlformats.org/officeDocument/2006/relationships/image"/>
  <Relationship Id="rId20" Target="footer20.xml" Type="http://schemas.openxmlformats.org/officeDocument/2006/relationships/footer"/>
  <Relationship Id="rId73" Target="media/43.emf" Type="http://schemas.openxmlformats.org/officeDocument/2006/relationships/image"/>
  <Relationship Id="rId70" Target="media/40.emf" Type="http://schemas.openxmlformats.org/officeDocument/2006/relationships/image"/>
  <Relationship Id="rId131" Target="styles.xml" Type="http://schemas.openxmlformats.org/officeDocument/2006/relationships/styles"/>
  <Relationship Id="rId11" Target="header11.xml" Type="http://schemas.openxmlformats.org/officeDocument/2006/relationships/header"/>
  <Relationship Id="rId9" Target="header9.xml" Type="http://schemas.openxmlformats.org/officeDocument/2006/relationships/header"/>
  <Relationship Id="rId68" Target="media/38.emf" Type="http://schemas.openxmlformats.org/officeDocument/2006/relationships/image"/>
  <Relationship Id="rId5" Target="header5.xml" Type="http://schemas.openxmlformats.org/officeDocument/2006/relationships/header"/>
  <Relationship Id="rId89" Target="media/59.emf" Type="http://schemas.openxmlformats.org/officeDocument/2006/relationships/image"/>
  <Relationship Id="rId118" Target="media/88.emf" Type="http://schemas.openxmlformats.org/officeDocument/2006/relationships/image"/>
  <Relationship Id="rId101" Target="media/71.emf" Type="http://schemas.openxmlformats.org/officeDocument/2006/relationships/image"/>
  <Relationship Id="rId111" Target="media/81.emf" Type="http://schemas.openxmlformats.org/officeDocument/2006/relationships/image"/>
  <Relationship Id="rId105" Target="media/75.emf" Type="http://schemas.openxmlformats.org/officeDocument/2006/relationships/image"/>
  <Relationship Id="rId58" Target="media/28.emf" Type="http://schemas.openxmlformats.org/officeDocument/2006/relationships/image"/>
  <Relationship Id="rId67" Target="media/37.emf" Type="http://schemas.openxmlformats.org/officeDocument/2006/relationships/image"/>
  <Relationship Id="rId61" Target="media/31.emf" Type="http://schemas.openxmlformats.org/officeDocument/2006/relationships/image"/>
  <Relationship Id="rId31" Target="media/1.emf" Type="http://schemas.openxmlformats.org/officeDocument/2006/relationships/image"/>
  <Relationship Id="rId14" Target="footer14.xml" Type="http://schemas.openxmlformats.org/officeDocument/2006/relationships/footer"/>
  <Relationship Id="rId15" Target="header15.xml" Type="http://schemas.openxmlformats.org/officeDocument/2006/relationships/header"/>
  <Relationship Id="rId6" Target="footer6.xml" Type="http://schemas.openxmlformats.org/officeDocument/2006/relationships/footer"/>
  <Relationship Id="rId44" Target="media/14.emf" Type="http://schemas.openxmlformats.org/officeDocument/2006/relationships/image"/>
  <Relationship Id="rId115" Target="media/85.emf" Type="http://schemas.openxmlformats.org/officeDocument/2006/relationships/image"/>
  <Relationship Id="rId77" Target="media/47.emf" Type="http://schemas.openxmlformats.org/officeDocument/2006/relationships/image"/>
  <Relationship Id="rId132" Target="stylesWithEffects.xml" Type="http://schemas.microsoft.com/office/2007/relationships/stylesWithEffects"/>
  <Relationship Id="rId52" Target="media/22.emf" Type="http://schemas.openxmlformats.org/officeDocument/2006/relationships/image"/>
  <Relationship Id="rId43" Target="media/13.emf" Type="http://schemas.openxmlformats.org/officeDocument/2006/relationships/image"/>
  <Relationship Id="rId37" Target="media/7.emf" Type="http://schemas.openxmlformats.org/officeDocument/2006/relationships/image"/>
  <Relationship Id="rId34" Target="media/4.emf" Type="http://schemas.openxmlformats.org/officeDocument/2006/relationships/image"/>
  <Relationship Id="rId134" Target="theme/theme1.xml" Type="http://schemas.openxmlformats.org/officeDocument/2006/relationships/theme"/>
  <Relationship Id="rId78" Target="media/48.emf" Type="http://schemas.openxmlformats.org/officeDocument/2006/relationships/image"/>
  <Relationship Id="rId32" Target="media/2.emf" Type="http://schemas.openxmlformats.org/officeDocument/2006/relationships/image"/>
  <Relationship Id="rId75" Target="media/45.emf" Type="http://schemas.openxmlformats.org/officeDocument/2006/relationships/image"/>
  <Relationship Id="rId49" Target="media/19.emf" Type="http://schemas.openxmlformats.org/officeDocument/2006/relationships/image"/>
  <Relationship Id="rId51" Target="media/21.emf" Type="http://schemas.openxmlformats.org/officeDocument/2006/relationships/image"/>
  <Relationship Id="rId16" Target="footer16.xml" Type="http://schemas.openxmlformats.org/officeDocument/2006/relationships/footer"/>
  <Relationship Id="rId107" Target="media/77.emf" Type="http://schemas.openxmlformats.org/officeDocument/2006/relationships/image"/>
  <Relationship Id="rId120" Target="media/90.emf" Type="http://schemas.openxmlformats.org/officeDocument/2006/relationships/image"/>
  <Relationship Id="rId102" Target="media/72.emf" Type="http://schemas.openxmlformats.org/officeDocument/2006/relationships/image"/>
  <Relationship Id="rId125" Target="media/95.emf" Type="http://schemas.openxmlformats.org/officeDocument/2006/relationships/image"/>
  <Relationship Id="rId66" Target="media/36.emf" Type="http://schemas.openxmlformats.org/officeDocument/2006/relationships/image"/>
  <Relationship Id="rId48" Target="media/18.emf" Type="http://schemas.openxmlformats.org/officeDocument/2006/relationships/image"/>
  <Relationship Id="rId71" Target="media/41.emf" Type="http://schemas.openxmlformats.org/officeDocument/2006/relationships/image"/>
  <Relationship Id="rId103" Target="media/73.emf" Type="http://schemas.openxmlformats.org/officeDocument/2006/relationships/image"/>
  <Relationship Id="rId87" Target="media/57.emf" Type="http://schemas.openxmlformats.org/officeDocument/2006/relationships/image"/>
  <Relationship Id="rId88" Target="media/58.emf" Type="http://schemas.openxmlformats.org/officeDocument/2006/relationships/image"/>
  <Relationship Id="rId7" Target="header7.xml" Type="http://schemas.openxmlformats.org/officeDocument/2006/relationships/header"/>
  <Relationship Id="rId93" Target="media/63.emf" Type="http://schemas.openxmlformats.org/officeDocument/2006/relationships/image"/>
  <Relationship Id="rId81" Target="media/51.emf" Type="http://schemas.openxmlformats.org/officeDocument/2006/relationships/image"/>
  <Relationship Id="rId27" Target="header27.xml" Type="http://schemas.openxmlformats.org/officeDocument/2006/relationships/header"/>
  <Relationship Id="rId128" Target="media/98.emf" Type="http://schemas.openxmlformats.org/officeDocument/2006/relationships/image"/>
  <Relationship Id="rId2" Target="footer2.xml" Type="http://schemas.openxmlformats.org/officeDocument/2006/relationships/footer"/>
  <Relationship Id="rId22" Target="footer22.xml" Type="http://schemas.openxmlformats.org/officeDocument/2006/relationships/footer"/>
  <Relationship Id="rId18" Target="footer18.xml" Type="http://schemas.openxmlformats.org/officeDocument/2006/relationships/footer"/>
  <Relationship Id="rId47" Target="media/17.emf" Type="http://schemas.openxmlformats.org/officeDocument/2006/relationships/image"/>
  <Relationship Id="rId1" Target="header1.xml" Type="http://schemas.openxmlformats.org/officeDocument/2006/relationships/header"/>
  <Relationship Id="rId4" Target="footer4.xml" Type="http://schemas.openxmlformats.org/officeDocument/2006/relationships/footer"/>
  <Relationship Id="rId95" Target="media/65.emf" Type="http://schemas.openxmlformats.org/officeDocument/2006/relationships/image"/>
  <Relationship Id="rId104" Target="media/74.emf" Type="http://schemas.openxmlformats.org/officeDocument/2006/relationships/image"/>
  <Relationship Id="rId54" Target="media/24.emf" Type="http://schemas.openxmlformats.org/officeDocument/2006/relationships/image"/>
  <Relationship Id="rId12" Target="footer12.xml" Type="http://schemas.openxmlformats.org/officeDocument/2006/relationships/footer"/>
  <Relationship Id="rId123" Target="media/93.emf" Type="http://schemas.openxmlformats.org/officeDocument/2006/relationships/image"/>
  <Relationship Id="rId84" Target="media/54.emf" Type="http://schemas.openxmlformats.org/officeDocument/2006/relationships/image"/>
  <Relationship Id="rId35" Target="media/5.emf" Type="http://schemas.openxmlformats.org/officeDocument/2006/relationships/image"/>
  <Relationship Id="rId121" Target="media/91.emf" Type="http://schemas.openxmlformats.org/officeDocument/2006/relationships/image"/>
  <Relationship Id="rId114" Target="media/84.emf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2026-08-05T12:00:19Z</dcterms:created>
  <dcterms:modified xsi:type="dcterms:W3CDTF">2026-08-07T10:04:10Z</dcterms:modified>
</cp:coreProperties>
</file>