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6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B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C000000">
      <w:pPr>
        <w:rPr>
          <w:spacing w:val="-4"/>
          <w:sz w:val="28"/>
        </w:rPr>
      </w:pPr>
    </w:p>
    <w:p w14:paraId="0D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05.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5638</w:t>
      </w:r>
      <w:r>
        <w:rPr>
          <w:spacing w:val="-4"/>
          <w:sz w:val="28"/>
        </w:rPr>
        <w:t>-П</w:t>
      </w:r>
    </w:p>
    <w:p w14:paraId="0E000000">
      <w:pPr>
        <w:widowControl w:val="0"/>
        <w:spacing w:after="0" w:before="0" w:line="240" w:lineRule="auto"/>
        <w:ind w:firstLine="0" w:left="0" w:right="4252"/>
        <w:jc w:val="left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0F000000">
      <w:pPr>
        <w:widowControl w:val="0"/>
        <w:spacing w:after="0" w:before="0" w:line="240" w:lineRule="auto"/>
        <w:ind w:firstLine="0" w:left="0" w:right="4252"/>
        <w:jc w:val="left"/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О создании пунктов временного размещения</w:t>
      </w:r>
      <w:r>
        <w:br/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 xml:space="preserve">и питания 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пострадавшего населения</w:t>
      </w:r>
      <w:r>
        <w:br/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на территории города Магнитогорска</w:t>
      </w:r>
    </w:p>
    <w:p w14:paraId="10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</w:pPr>
    </w:p>
    <w:p w14:paraId="11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В целях подготовки и проведения эвакуации населения города Магнитогорска при угрозе или возникновении чрезвычайных ситуаций природного и техногенного характера, в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 xml:space="preserve"> соответствии с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 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color="000000" w:val="none"/>
        </w:rPr>
        <w:fldChar w:fldCharType="begin"/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color="000000" w:val="none"/>
        </w:rPr>
        <w:instrText>HYPERLINK "https://docs.cntd.ru/document/9009935#64U0IK"</w:instrTex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color="000000" w:val="none"/>
        </w:rPr>
        <w:fldChar w:fldCharType="separate"/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color="000000" w:val="none"/>
        </w:rPr>
        <w:t>Федеральным законом от 21.12.1994 № 68-ФЗ «О защите населения и территорий от чрезвычайных ситуаций природного и техногенного характера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color="000000" w:val="none"/>
        </w:rPr>
        <w:fldChar w:fldCharType="end"/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»,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color="000000" w:val="none"/>
        </w:rPr>
        <w:t xml:space="preserve"> 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color="000000" w:val="none"/>
        </w:rPr>
        <w:fldChar w:fldCharType="begin"/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color="000000" w:val="none"/>
        </w:rPr>
        <w:instrText>HYPERLINK "https://docs.cntd.ru/document/542658811#7D20K3"</w:instrTex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color="000000" w:val="none"/>
        </w:rPr>
        <w:fldChar w:fldCharType="separate"/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color="000000" w:val="none"/>
        </w:rPr>
        <w:t>постановлением Правительства Российской Федерации от 21.05.2007 № 304 «О классификации чрезвычайных ситуаций природного и техногенного характера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color="000000" w:val="none"/>
        </w:rPr>
        <w:fldChar w:fldCharType="end"/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»,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color="000000" w:val="none"/>
        </w:rPr>
        <w:t xml:space="preserve"> руководствуясь Уставом города Магнитогорска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 xml:space="preserve">, </w:t>
      </w:r>
    </w:p>
    <w:p w14:paraId="12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</w:pPr>
    </w:p>
    <w:p w14:paraId="13000000">
      <w:pPr>
        <w:widowControl w:val="0"/>
        <w:spacing w:after="0" w:before="0" w:line="240" w:lineRule="auto"/>
        <w:ind w:firstLine="0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ПОСТАНОВЛЯЮ:</w:t>
      </w:r>
    </w:p>
    <w:p w14:paraId="14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6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1.  Утвердить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 xml:space="preserve"> Положение о создании пунктов временного размещения</w:t>
      </w:r>
      <w:r>
        <w:br/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 xml:space="preserve">и питания 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пострадавшего населения на территории города Магнитогорска (приложение № 1).</w:t>
      </w:r>
    </w:p>
    <w:p w14:paraId="15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 xml:space="preserve">2.  Утвердить 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 xml:space="preserve">перечень 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 xml:space="preserve">пунктов временного размещения 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 xml:space="preserve">и питания 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пострадавшего населения на территории города Магнитогорска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 xml:space="preserve"> (приложение № 2).</w:t>
      </w:r>
    </w:p>
    <w:p w14:paraId="16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u w:val="none"/>
        </w:rPr>
        <w:t>3.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u w:val="none"/>
        </w:rPr>
        <w:t>  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u w:val="none"/>
        </w:rPr>
        <w:t>Управлению гражданской защиты населения администрации города Магнитогорска (Жестовский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u w:val="none"/>
        </w:rPr>
        <w:t> 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u w:val="none"/>
        </w:rPr>
        <w:t xml:space="preserve">О.Б.) 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u w:val="none"/>
        </w:rPr>
        <w:t xml:space="preserve">оказывать организациям, на базе которых созданы 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 xml:space="preserve">пункты временного размещения 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 xml:space="preserve">и питания 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пострадавшего населения</w:t>
      </w:r>
      <w:r>
        <w:br/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на территории города Магнитогорска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u w:val="none"/>
        </w:rPr>
        <w:t>, методическую помощь по разработке необходимой документации.</w:t>
      </w:r>
    </w:p>
    <w:p w14:paraId="17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4.  Настоящее постановление вступает в силу со дня его подписания.</w:t>
      </w:r>
    </w:p>
    <w:p w14:paraId="18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5.  Службе внешних связей и молодежной политики администрации города Магнитогорска (Числова Г.Д.) разместить настоящее постановление</w:t>
      </w:r>
      <w:r>
        <w:br/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на официальном сайте администрации города Магнитогорска в сети Интернет.</w:t>
      </w:r>
    </w:p>
    <w:p w14:paraId="19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6.  Контроль исполнения настоящего постановления возложить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на заместителя Главы города Магнитогорска Сафонову Н.В.</w:t>
      </w:r>
    </w:p>
    <w:p w14:paraId="1A000000">
      <w:pPr>
        <w:widowControl w:val="0"/>
        <w:spacing w:after="0" w:line="240" w:lineRule="auto"/>
        <w:ind w:firstLine="709" w:left="0" w:right="0"/>
        <w:jc w:val="left"/>
        <w:rPr>
          <w:rFonts w:ascii="PT Astra Serif" w:hAnsi="PT Astra Serif"/>
          <w:b w:val="0"/>
          <w:color w:val="000000"/>
          <w:sz w:val="26"/>
          <w:u w:val="none"/>
        </w:rPr>
      </w:pPr>
    </w:p>
    <w:p w14:paraId="1B000000">
      <w:pPr>
        <w:widowControl w:val="0"/>
        <w:spacing w:after="0" w:line="240" w:lineRule="auto"/>
        <w:ind w:firstLine="709" w:left="0" w:right="0"/>
        <w:jc w:val="left"/>
        <w:rPr>
          <w:rFonts w:ascii="PT Astra Serif" w:hAnsi="PT Astra Serif"/>
          <w:b w:val="0"/>
          <w:color w:val="000000"/>
          <w:sz w:val="26"/>
          <w:u w:val="none"/>
        </w:rPr>
      </w:pPr>
    </w:p>
    <w:p w14:paraId="1C000000">
      <w:pPr>
        <w:widowControl w:val="0"/>
        <w:spacing w:after="0" w:line="240" w:lineRule="auto"/>
        <w:ind w:firstLine="709" w:left="0" w:right="0"/>
        <w:jc w:val="left"/>
        <w:rPr>
          <w:rFonts w:ascii="PT Astra Serif" w:hAnsi="PT Astra Serif"/>
          <w:b w:val="0"/>
          <w:color w:val="000000"/>
          <w:sz w:val="26"/>
          <w:u w:val="none"/>
        </w:rPr>
      </w:pPr>
    </w:p>
    <w:p w14:paraId="1D000000">
      <w:pPr>
        <w:widowControl w:val="0"/>
        <w:spacing w:after="0" w:line="240" w:lineRule="auto"/>
        <w:ind w:firstLine="0" w:left="0" w:right="0"/>
        <w:jc w:val="left"/>
        <w:rPr>
          <w:rFonts w:ascii="PT Astra Serif" w:hAnsi="PT Astra Serif"/>
          <w:b w:val="0"/>
          <w:color w:val="000000"/>
          <w:sz w:val="26"/>
          <w:u w:val="none"/>
        </w:rPr>
      </w:pPr>
      <w:r>
        <w:rPr>
          <w:rFonts w:ascii="PT Astra Serif" w:hAnsi="PT Astra Serif"/>
          <w:b w:val="0"/>
          <w:color w:val="000000"/>
          <w:sz w:val="26"/>
          <w:u w:val="none"/>
        </w:rPr>
        <w:t>Глава города Магнитогорска</w:t>
      </w:r>
      <w:r>
        <w:rPr>
          <w:rFonts w:ascii="PT Astra Serif" w:hAnsi="PT Astra Serif"/>
          <w:b w:val="0"/>
          <w:color w:val="000000"/>
          <w:sz w:val="26"/>
          <w:u w:val="none"/>
        </w:rPr>
        <w:t xml:space="preserve">                                                                   </w:t>
      </w:r>
      <w:r>
        <w:rPr>
          <w:rFonts w:ascii="PT Astra Serif" w:hAnsi="PT Astra Serif"/>
          <w:b w:val="0"/>
          <w:color w:val="000000"/>
          <w:sz w:val="26"/>
          <w:u w:val="none"/>
        </w:rPr>
        <w:t>С.Н. Бердников</w:t>
      </w:r>
    </w:p>
    <w:p w14:paraId="1E000000">
      <w:pPr>
        <w:widowControl w:val="0"/>
        <w:spacing w:after="0" w:line="240" w:lineRule="auto"/>
        <w:ind/>
        <w:rPr>
          <w:rFonts w:ascii="PT Astra Serif" w:hAnsi="PT Astra Serif"/>
          <w:color w:val="000000"/>
          <w:sz w:val="24"/>
        </w:rPr>
      </w:pPr>
    </w:p>
    <w:p w14:paraId="1F000000">
      <w:pPr>
        <w:widowControl w:val="0"/>
        <w:spacing w:after="0" w:line="240" w:lineRule="auto"/>
        <w:ind/>
        <w:rPr>
          <w:rFonts w:ascii="PT Astra Serif" w:hAnsi="PT Astra Serif"/>
          <w:color w:val="000000"/>
          <w:sz w:val="24"/>
        </w:rPr>
      </w:pPr>
    </w:p>
    <w:p w14:paraId="20000000">
      <w:pPr>
        <w:sectPr>
          <w:headerReference r:id="rId2" w:type="default"/>
          <w:footerReference r:id="rId5" w:type="first"/>
          <w:pgSz w:h="16838" w:orient="portrait" w:w="11906"/>
          <w:pgMar w:bottom="1134" w:footer="709" w:gutter="0" w:header="709" w:left="1701" w:right="851" w:top="1134"/>
          <w:titlePg/>
        </w:sectPr>
      </w:pPr>
    </w:p>
    <w:p w14:paraId="21000000">
      <w:pPr>
        <w:widowControl w:val="0"/>
        <w:spacing w:after="0" w:before="0" w:line="240" w:lineRule="auto"/>
        <w:ind w:firstLine="5669" w:left="0" w:right="0"/>
        <w:jc w:val="left"/>
        <w:rPr>
          <w:rFonts w:ascii="PT Astra Serif" w:hAnsi="PT Astra Serif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4"/>
          <w:highlight w:val="white"/>
        </w:rPr>
        <w:t>Приложение № 1</w:t>
      </w:r>
    </w:p>
    <w:p w14:paraId="22000000">
      <w:pPr>
        <w:widowControl w:val="0"/>
        <w:spacing w:after="0" w:before="0" w:line="240" w:lineRule="auto"/>
        <w:ind w:firstLine="5669" w:left="0" w:right="0"/>
        <w:jc w:val="left"/>
        <w:rPr>
          <w:rFonts w:ascii="PT Astra Serif" w:hAnsi="PT Astra Serif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4"/>
          <w:highlight w:val="white"/>
        </w:rPr>
        <w:t>к постановлению а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4"/>
          <w:highlight w:val="white"/>
        </w:rPr>
        <w:t>дминистрации</w:t>
      </w:r>
    </w:p>
    <w:p w14:paraId="23000000">
      <w:pPr>
        <w:widowControl w:val="0"/>
        <w:spacing w:after="0" w:before="0" w:line="240" w:lineRule="auto"/>
        <w:ind w:firstLine="5669" w:left="0" w:right="0"/>
        <w:jc w:val="left"/>
        <w:rPr>
          <w:rFonts w:ascii="PT Astra Serif" w:hAnsi="PT Astra Serif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4"/>
          <w:highlight w:val="white"/>
        </w:rPr>
        <w:t xml:space="preserve">города </w:t>
      </w:r>
      <w:r>
        <w:rPr>
          <w:rFonts w:ascii="PT Astra Serif" w:hAnsi="PT Astra Serif"/>
          <w:b w:val="0"/>
          <w:color w:val="000000"/>
          <w:sz w:val="24"/>
        </w:rPr>
        <w:t>Магнитогорска</w:t>
      </w:r>
    </w:p>
    <w:p w14:paraId="24000000">
      <w:pPr>
        <w:widowControl w:val="0"/>
        <w:spacing w:after="0" w:before="0" w:line="240" w:lineRule="auto"/>
        <w:ind w:firstLine="5669" w:left="0" w:right="0"/>
        <w:jc w:val="left"/>
        <w:rPr>
          <w:rFonts w:ascii="PT Astra Serif" w:hAnsi="PT Astra Serif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4"/>
          <w:highlight w:val="white"/>
        </w:rPr>
        <w:t>от 05.08.2026 № 5638-П</w:t>
      </w:r>
    </w:p>
    <w:p w14:paraId="25000000">
      <w:pPr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26000000">
      <w:pPr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27000000">
      <w:pPr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28000000">
      <w:pPr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 xml:space="preserve">Положение </w:t>
      </w:r>
    </w:p>
    <w:p w14:paraId="29000000">
      <w:pPr>
        <w:widowControl w:val="0"/>
        <w:spacing w:after="0" w:before="0" w:line="240" w:lineRule="auto"/>
        <w:ind w:firstLine="0" w:left="567" w:right="567"/>
        <w:jc w:val="center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о создании пунктов временного размещения и питания пострадавшего населения на территории города Магнитогорска</w:t>
      </w:r>
    </w:p>
    <w:p w14:paraId="2A000000">
      <w:pPr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2B000000">
      <w:pPr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 xml:space="preserve">I. 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Общие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 xml:space="preserve"> положения</w:t>
      </w:r>
    </w:p>
    <w:p w14:paraId="2C000000">
      <w:pPr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2D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 xml:space="preserve">1.  Настоящее Положение о создании пунктов временного размещения 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 xml:space="preserve">и питания 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 xml:space="preserve">пострадавшего населения на территории города Магнитогорска (далее – Положение) определяет порядок организации работы пунктов временного размещения 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и питания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 xml:space="preserve"> пострадавшего населения (далее – ПВР) при угрозе возникновения или возникновении чрезвычайных ситуаций природного и техногенного характера 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 xml:space="preserve">(далее – ЧС) 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на территории города Магнитогорска .</w:t>
      </w:r>
    </w:p>
    <w:p w14:paraId="2E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2.  Настоящее Положение разработано в соответствии с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 xml:space="preserve"> письмом МЧС России от 06.06.2022 № 43-3300-11 О направлении Методических рекомендаций по организации первоочередного жизнеобеспечения населения в чрезвычайных ситуациях и работы пунктов временного размещения пострадавшего населения (далее - Методических рекомендаций).</w:t>
      </w:r>
    </w:p>
    <w:p w14:paraId="2F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3.  ПВР предназначен для приема, временного размещения, учета и первоочередного жизнеобеспечения пострадавшего населения и (или) эвакуируемого (отселяемого) (далее – пострадавшее население) из зоны (территории) ЧС.</w:t>
      </w:r>
    </w:p>
    <w:p w14:paraId="30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4.  ПВР создаются в жилых, общественных и административных зданиях, расположенных на территории города Магнитогорска, независимо от формы собственности и ведомственной принадлежности.</w:t>
      </w:r>
    </w:p>
    <w:p w14:paraId="31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В случае необходимости функционирование организаций, на базе которых развертываются ПВР, может быть приостановлено по решению Главы города Магнитогорска до завершения мероприятий по устранению поражающего воздействия источника ЧС.</w:t>
      </w:r>
    </w:p>
    <w:p w14:paraId="32000000">
      <w:pPr>
        <w:widowControl w:val="0"/>
        <w:spacing w:after="0" w:before="0" w:line="240" w:lineRule="auto"/>
        <w:ind w:hanging="855" w:left="1335" w:right="855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3000000">
      <w:pPr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II. Цель и основные задачи ПВР</w:t>
      </w:r>
    </w:p>
    <w:p w14:paraId="34000000">
      <w:pPr>
        <w:widowControl w:val="0"/>
        <w:spacing w:after="0" w:before="0" w:line="240" w:lineRule="auto"/>
        <w:ind w:hanging="1335" w:left="1335" w:right="855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5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5.  Главной целью создания ПВР является создание и поддержание необходимых условий для сохранения жизни и здоровья людей в наиболее сложный в организационном отношении период после возникновения ЧС.</w:t>
      </w:r>
    </w:p>
    <w:p w14:paraId="36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6.  Основными функциями ПВР являются:</w:t>
      </w:r>
    </w:p>
    <w:p w14:paraId="37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1)  планирование, подготовка к осуществлению мероприятий по организованному приему пострадавшего населения;</w:t>
      </w:r>
    </w:p>
    <w:p w14:paraId="38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2)  подготовка администрации ПВР к действиям по приему, учету и размещению пострадавшего населения;</w:t>
      </w:r>
    </w:p>
    <w:p w14:paraId="39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3)  подготовка оборудования и имущества;</w:t>
      </w:r>
    </w:p>
    <w:p w14:paraId="3A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4)  учет и размещение пострадавшего населения;</w:t>
      </w:r>
    </w:p>
    <w:p w14:paraId="3B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5)  оказание первой медицинской помощи пострадавшему населению;</w:t>
      </w:r>
    </w:p>
    <w:p w14:paraId="3C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6)  первоочередное жизнеобеспечение пострадавшего населения;</w:t>
      </w:r>
    </w:p>
    <w:p w14:paraId="3D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7)  обеспечение и поддержание общественного порядка в ПВР.</w:t>
      </w:r>
    </w:p>
    <w:p w14:paraId="3E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7.  Основными задачами ПВР являются:</w:t>
      </w:r>
    </w:p>
    <w:p w14:paraId="3F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1)  при повседневной деятельности:</w:t>
      </w:r>
    </w:p>
    <w:p w14:paraId="40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- планирование и подготовка к осуществлению мероприятий по организованному приему пострадавшего населения, выводимого из зон возможных ЧС;</w:t>
      </w:r>
    </w:p>
    <w:p w14:paraId="41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- разработка необходимой документации;</w:t>
      </w:r>
    </w:p>
    <w:p w14:paraId="42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- заблаговременная подготовка помещений, инвентаря и средств связи;</w:t>
      </w:r>
    </w:p>
    <w:p w14:paraId="43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- обучение администрации ПВР действиям по приему, учету и размещению пострадавшего населения в ЧС;</w:t>
      </w:r>
    </w:p>
    <w:p w14:paraId="44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  <w:t>- практическая отработка вопросов оповещения, сбора и функционирования администрации ПВР;</w:t>
      </w:r>
    </w:p>
    <w:p w14:paraId="45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 участие в учениях и тренировках, проверках готовности и смотрах-конкурсах;</w:t>
      </w:r>
    </w:p>
    <w:p w14:paraId="46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2)  при возникновении ЧС:</w:t>
      </w:r>
    </w:p>
    <w:p w14:paraId="47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 полное развертывание ПВР, подготовка к приему и размещению пострадавшего населения;</w:t>
      </w:r>
    </w:p>
    <w:p w14:paraId="48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 организация учета прибывающего населения и его размещение;</w:t>
      </w:r>
    </w:p>
    <w:p w14:paraId="49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 установление связи с комиссией по предупреждению и ликвидации чрезвычайных ситуаций и обеспечению пожарной безопасности города Магнитогорска (далее – КЧС и ОПБ), эвакуационной комиссией города Магнитогорска, единой дежурно-диспетчерской службой города Магнитогорска и организациями, участвующими в жизнеобеспечении пострадавшего населения;</w:t>
      </w:r>
    </w:p>
    <w:p w14:paraId="4A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 организация жизнеобеспечения пострадавшего населения;</w:t>
      </w:r>
    </w:p>
    <w:p w14:paraId="4B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 информирование об обстановке прибывающего в ПВР пострадавшего населения;</w:t>
      </w:r>
    </w:p>
    <w:p w14:paraId="4C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 представление донесений в КЧС и ОПБ о ходе приема и размещения населения в ПВР;</w:t>
      </w:r>
    </w:p>
    <w:p w14:paraId="4D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 подготовка пострадавшего населения к отправке в пункты длительного проживания (при продолжительном периоде восстановительных работ).</w:t>
      </w:r>
    </w:p>
    <w:p w14:paraId="4E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4F000000">
      <w:pPr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III. Состав администрации ПВР</w:t>
      </w:r>
    </w:p>
    <w:p w14:paraId="50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51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8.  Штат администрации ПВР зависит от численности принимаемого пострадавшего населения при ЧС.</w:t>
      </w:r>
    </w:p>
    <w:p w14:paraId="52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9.  В штат администрации ПВР входят:</w:t>
      </w:r>
    </w:p>
    <w:p w14:paraId="53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1)  начальник ПВР и заместитель начальника ПВР;</w:t>
      </w:r>
    </w:p>
    <w:p w14:paraId="54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2)  личный состав:</w:t>
      </w:r>
    </w:p>
    <w:p w14:paraId="55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 группы встречи, приема, регистрации и размещения;</w:t>
      </w:r>
    </w:p>
    <w:p w14:paraId="56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 группы торговли и питания;</w:t>
      </w:r>
    </w:p>
    <w:p w14:paraId="57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 группы охраны общественного порядка;</w:t>
      </w:r>
    </w:p>
    <w:p w14:paraId="58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 стола справок;</w:t>
      </w:r>
    </w:p>
    <w:p w14:paraId="59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 пункта питания;</w:t>
      </w:r>
    </w:p>
    <w:p w14:paraId="5A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 медицинского пункта;</w:t>
      </w:r>
    </w:p>
    <w:p w14:paraId="5B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 кабинета психологического обеспечения;</w:t>
      </w:r>
    </w:p>
    <w:p w14:paraId="5C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 комнаты матери и ребенка;</w:t>
      </w:r>
    </w:p>
    <w:p w14:paraId="5D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 комнаты бытового обслуживания;</w:t>
      </w:r>
    </w:p>
    <w:p w14:paraId="5E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 помещения для размещения пострадавшего населения;</w:t>
      </w:r>
    </w:p>
    <w:p w14:paraId="5F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3)  комендант.</w:t>
      </w:r>
    </w:p>
    <w:p w14:paraId="60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Дополнительно в ПВР может создаваться комната выдачи гуманитарной помощи, компьютерная комната с выходом в Интернет и место для зарядки телефонов, кабинет для работы представителей органов государственной власти (миграционная служба, социальная защита, противопожарная служба и др.), комната отдыха персонала.</w:t>
      </w:r>
    </w:p>
    <w:p w14:paraId="61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10.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u w:val="none"/>
        </w:rPr>
        <w:t> 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u w:val="none"/>
        </w:rPr>
        <w:t>Начальник ПВР и его заместитель назначаются правовым актом администрации города Магнитогорска.</w:t>
      </w:r>
    </w:p>
    <w:p w14:paraId="62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u w:val="none"/>
        </w:rPr>
        <w:t>Остальной личный состав администрации ПВР назначается приказом руководителя организации, на базе которой развертывается ПВР. Личный состав администрации ПВР должен твердо знать свои функциональные обязанности и добросовестно их выполнять.</w:t>
      </w:r>
    </w:p>
    <w:p w14:paraId="63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11. 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Лица, входящие в состав администрации ПВР, проходят теоретическую подготовку и практическую тренировку в объеме программы подготовки эвакуационных органов гражданской обороны, а в своей деятельности руководствуются Методическими рекомендациями.</w:t>
      </w:r>
    </w:p>
    <w:p w14:paraId="64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12. 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Начальник ПВР:</w:t>
      </w:r>
    </w:p>
    <w:p w14:paraId="65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1)  подчиняется председателю КЧС и ОПБ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;</w:t>
      </w:r>
    </w:p>
    <w:p w14:paraId="66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2)  отвечает за готовность, своевременное развертывание и организацию работы ПВР;</w:t>
      </w:r>
    </w:p>
    <w:p w14:paraId="67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3)  осуществляет планирование первоочередного жизнеобеспечения размещаемого в ПВР пострадавшего населения исходя из максимальной емкости ПВР;</w:t>
      </w:r>
    </w:p>
    <w:p w14:paraId="68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4)  организует разработку необходимой организационно-распорядительной документации ПВР;</w:t>
      </w:r>
    </w:p>
    <w:p w14:paraId="69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5)  определяет порядок получения оборудования и имущества при развертывании ПВР;</w:t>
      </w:r>
    </w:p>
    <w:p w14:paraId="6A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6)  подготавливает и направляет заявки председателю КЧС и ОПБ на оснащение ПВР необходимым оборудованием и имуществом.</w:t>
      </w:r>
    </w:p>
    <w:p w14:paraId="6B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13. Заместитель начальника ПВР подчиняется начальнику ПВР.</w:t>
      </w:r>
    </w:p>
    <w:p w14:paraId="6C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В отсутствие начальника ПВР он выполняет его обязанности. Заместитель начальника ПВР отвечает за обеспечение ПВР необходимым оборудованием и имуществом, работу группы охраны общественного порядка и медицинского пункта.</w:t>
      </w:r>
    </w:p>
    <w:p w14:paraId="6D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14. Группа встречи, приема, регистрации и размещения пострадавшего населения регистрирует, сопровождает и размещает пострадавшее население по прибытии в ПВР. Данные о прибывших вносятся в журнал учета прибытия пострадавшего населения в ПВР.</w:t>
      </w:r>
    </w:p>
    <w:p w14:paraId="6E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15. Группа охраны общественного порядка осуществляет поддержание на территории ПВР общественного порядка, охрану ПВР и имущества, контроль за выполнением установленных правил поведения.</w:t>
      </w:r>
    </w:p>
    <w:p w14:paraId="6F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16. Медицинский пункт оказывает первую медицинскую помощь и направляет в лечебные учреждения.</w:t>
      </w:r>
    </w:p>
    <w:p w14:paraId="70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71000000">
      <w:pPr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IV. Организация работы ПВР</w:t>
      </w:r>
    </w:p>
    <w:p w14:paraId="72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73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17. Подготовка к работе ПВР включает проведение организационных мероприятий и практическую подготовку администрации ПВР.</w:t>
      </w:r>
    </w:p>
    <w:p w14:paraId="74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18. С целью подготовки ПВР к приему и размещению пострадавшего населения личным составом администрации ПВР разрабатываются и принимаются следующие организационно-распорядительные документы:</w:t>
      </w:r>
    </w:p>
    <w:p w14:paraId="75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1)  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приказ начальника ПВР о создании ПВР и его администрации;</w:t>
      </w:r>
    </w:p>
    <w:p w14:paraId="76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2)  штатно-должностной список ПВР;</w:t>
      </w:r>
    </w:p>
    <w:p w14:paraId="77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3)  функциональные обязанности личного состава администрации ПВР;</w:t>
      </w:r>
    </w:p>
    <w:p w14:paraId="78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4)  календарный план действий личного состава администрации ПВР;</w:t>
      </w:r>
    </w:p>
    <w:p w14:paraId="79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5)  схема оповещения и сбора личного состава администрации ПВР;</w:t>
      </w:r>
    </w:p>
    <w:p w14:paraId="7A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6)  схема связи и управления;</w:t>
      </w:r>
    </w:p>
    <w:p w14:paraId="7B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7)  рабочие журналы (учета прибытия и убытия населения, принятых и отданных распоряжений);</w:t>
      </w:r>
    </w:p>
    <w:p w14:paraId="7C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8)  план размещения населения в ПВР;</w:t>
      </w:r>
    </w:p>
    <w:p w14:paraId="7D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9)  распорядок дня и правила поведения для лиц, размещенных в ПВР;</w:t>
      </w:r>
    </w:p>
    <w:p w14:paraId="7E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10) анкета качества условий пребывания;</w:t>
      </w:r>
    </w:p>
    <w:p w14:paraId="7F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11) 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опознавательные нарукавные повязки (бейджи) для работников администрации ПВР.</w:t>
      </w:r>
    </w:p>
    <w:p w14:paraId="80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19. Для обеспечения функционирования ПВР необходимо предусмотреть:</w:t>
      </w:r>
    </w:p>
    <w:p w14:paraId="81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1)  таблички ПВР и указатели расположения элементов ПВР;</w:t>
      </w:r>
    </w:p>
    <w:p w14:paraId="82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2)  памятки для населения, находящегося в ПВР;</w:t>
      </w:r>
    </w:p>
    <w:p w14:paraId="83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3)  электрические фонари;</w:t>
      </w:r>
    </w:p>
    <w:p w14:paraId="84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4)  электромегафоны;</w:t>
      </w:r>
    </w:p>
    <w:p w14:paraId="85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5)  инвентарь для уборки помещений и территории.</w:t>
      </w:r>
    </w:p>
    <w:p w14:paraId="86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20. Время развертывания ПВР с учетом оповещения и сбора администрации ПВР, организации первоочередного обеспечения в ПВР составляет:</w:t>
      </w:r>
    </w:p>
    <w:p w14:paraId="87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1)  в случае размещения имущества, необходимого для обеспечения работы ПВР, в месте дислокации ПВР - 4 часа, из них:</w:t>
      </w:r>
    </w:p>
    <w:p w14:paraId="88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- 1,5 часа - сбор администрации ПВР;</w:t>
      </w:r>
    </w:p>
    <w:p w14:paraId="89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- 2,5 часа - организация первоочередного обеспечения пострадавших;</w:t>
      </w:r>
    </w:p>
    <w:p w14:paraId="8A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2)  в случае необходимости доставки в ПВР имущества, необходимого для обеспечения работы ПВР, - 6 часов, из них:</w:t>
      </w:r>
    </w:p>
    <w:p w14:paraId="8B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- 1,5 часа - сбор администрации ПВР;</w:t>
      </w:r>
    </w:p>
    <w:p w14:paraId="8C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- 2 часа - доставка имущества в ПВР с учетом погрузки и разгрузки;</w:t>
      </w:r>
    </w:p>
    <w:p w14:paraId="8D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- 2,5 часа - организация первоочередного обеспечения пострадавших.</w:t>
      </w:r>
    </w:p>
    <w:p w14:paraId="8E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21. Подготовка лиц, назначенных в состав администрации ПВР, совершенствование их знаний, умений и навыков осуществляется в ходе проведения учений, тренировок и показательных занятий по гражданской обороне, защите населения от ЧС, обеспечению пожарной безопасности и безопасности людей на водных объектах.</w:t>
      </w:r>
    </w:p>
    <w:p w14:paraId="8F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u w:val="none"/>
          <w:shd w:fill="FFD821" w:val="clear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Лица, впервые назначенные на должность начальника ПВР и заместителя начальника ПВР, заблаговременно подают заявки и проходят подготовку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u w:val="none"/>
        </w:rPr>
        <w:t xml:space="preserve"> 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u w:val="none"/>
        </w:rPr>
        <w:t>по дополнительным профессиональным программам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u w:val="none"/>
        </w:rPr>
        <w:t>.</w:t>
      </w:r>
    </w:p>
    <w:p w14:paraId="90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u w:val="none"/>
        </w:rPr>
      </w:pPr>
    </w:p>
    <w:p w14:paraId="91000000">
      <w:pPr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V. Порядок материального обеспечения ПВР</w:t>
      </w:r>
    </w:p>
    <w:p w14:paraId="92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93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22. Расходы на осуществление мероприятий по жизнеобеспечению и защите населения и территории города Магнитогорска в период введения режима повышенной готовности или ЧС осуществляется за счет финансовых средств резервного фонда администрации города Магнитогорска.</w:t>
      </w:r>
    </w:p>
    <w:p w14:paraId="94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23. Материальное обеспечение ПВР осуществляется из созданного резерва материальных ресурсов для ликвидации ЧС муниципального характера на территории города Магнитогорска в порядке, установленном правовым актом администрации города Магнитогорска.</w:t>
      </w:r>
    </w:p>
    <w:p w14:paraId="95000000">
      <w:pPr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24. При ЧС регионального, межрегионального и федерального характера расходы на проведение мероприятий по временному размещению пострадавшего населения в ПВР и его первоочередному жизнеобеспечению, в первую очередь, осуществляются за счет средств субъекта Российской Федерации.</w:t>
      </w:r>
      <w:r>
        <w:rPr>
          <w:rFonts w:ascii="PT Astra Serif" w:hAnsi="PT Astra Serif"/>
          <w:b w:val="0"/>
          <w:color w:val="000000"/>
          <w:sz w:val="28"/>
          <w:u w:val="none"/>
        </w:rPr>
        <w:br/>
      </w:r>
    </w:p>
    <w:p w14:paraId="96000000">
      <w:pPr>
        <w:widowControl w:val="0"/>
        <w:spacing w:after="0" w:line="240" w:lineRule="auto"/>
        <w:ind w:firstLine="709" w:left="0" w:right="0"/>
        <w:jc w:val="left"/>
        <w:rPr>
          <w:rFonts w:ascii="PT Astra Serif" w:hAnsi="PT Astra Serif"/>
          <w:b w:val="0"/>
          <w:color w:val="000000"/>
          <w:sz w:val="28"/>
          <w:u w:val="none"/>
        </w:rPr>
      </w:pPr>
    </w:p>
    <w:p w14:paraId="97000000">
      <w:pPr>
        <w:sectPr>
          <w:headerReference r:id="rId6" w:type="default"/>
          <w:footerReference r:id="rId4" w:type="first"/>
          <w:type w:val="nextPage"/>
          <w:pgSz w:h="16838" w:orient="portrait" w:w="11906"/>
          <w:pgMar w:bottom="1134" w:footer="709" w:gutter="0" w:header="709" w:left="1701" w:right="851" w:top="1134"/>
          <w:pgNumType w:start="1"/>
          <w:titlePg/>
        </w:sectPr>
      </w:pPr>
    </w:p>
    <w:p w14:paraId="98000000">
      <w:pPr>
        <w:widowControl w:val="0"/>
        <w:spacing w:after="0" w:before="0" w:line="240" w:lineRule="auto"/>
        <w:ind w:firstLine="5669" w:left="0" w:right="0"/>
        <w:jc w:val="left"/>
        <w:rPr>
          <w:rFonts w:ascii="PT Astra Serif" w:hAnsi="PT Astra Serif"/>
          <w:b w:val="0"/>
          <w:i w:val="0"/>
          <w:caps w:val="0"/>
          <w:color w:val="000000"/>
          <w:spacing w:val="0"/>
          <w:sz w:val="24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4"/>
          <w:highlight w:val="white"/>
          <w:u w:val="none"/>
        </w:rPr>
        <w:t>Приложение № 2</w:t>
      </w:r>
    </w:p>
    <w:p w14:paraId="99000000">
      <w:pPr>
        <w:widowControl w:val="0"/>
        <w:spacing w:after="0" w:before="0" w:line="240" w:lineRule="auto"/>
        <w:ind w:firstLine="5669" w:left="0" w:right="0"/>
        <w:jc w:val="left"/>
        <w:rPr>
          <w:rFonts w:ascii="PT Astra Serif" w:hAnsi="PT Astra Serif"/>
          <w:b w:val="0"/>
          <w:i w:val="0"/>
          <w:caps w:val="0"/>
          <w:color w:val="000000"/>
          <w:spacing w:val="0"/>
          <w:sz w:val="24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4"/>
          <w:highlight w:val="white"/>
          <w:u w:val="none"/>
        </w:rPr>
        <w:t>к п</w:t>
      </w:r>
      <w:r>
        <w:rPr>
          <w:rFonts w:ascii="PT Astra Serif" w:hAnsi="PT Astra Serif"/>
          <w:b w:val="0"/>
          <w:color w:val="000000"/>
          <w:sz w:val="24"/>
          <w:u w:val="none"/>
        </w:rPr>
        <w:t xml:space="preserve">остановлению </w:t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4"/>
          <w:highlight w:val="white"/>
          <w:u w:val="none"/>
        </w:rPr>
        <w:t>администрации</w:t>
      </w:r>
    </w:p>
    <w:p w14:paraId="9A000000">
      <w:pPr>
        <w:widowControl w:val="0"/>
        <w:spacing w:after="0" w:before="0" w:line="240" w:lineRule="auto"/>
        <w:ind w:firstLine="5669" w:left="0" w:right="0"/>
        <w:jc w:val="left"/>
        <w:rPr>
          <w:rFonts w:ascii="PT Astra Serif" w:hAnsi="PT Astra Serif"/>
          <w:b w:val="0"/>
          <w:i w:val="0"/>
          <w:caps w:val="0"/>
          <w:color w:val="000000"/>
          <w:spacing w:val="0"/>
          <w:sz w:val="24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4"/>
          <w:highlight w:val="white"/>
          <w:u w:val="none"/>
        </w:rPr>
        <w:t>города М</w:t>
      </w:r>
      <w:r>
        <w:rPr>
          <w:rFonts w:ascii="PT Astra Serif" w:hAnsi="PT Astra Serif"/>
          <w:b w:val="0"/>
          <w:color w:val="000000"/>
          <w:sz w:val="24"/>
          <w:u w:val="none"/>
        </w:rPr>
        <w:t>агнитогорска</w:t>
      </w:r>
    </w:p>
    <w:p w14:paraId="9B000000">
      <w:pPr>
        <w:widowControl w:val="0"/>
        <w:spacing w:after="0" w:before="0" w:line="240" w:lineRule="auto"/>
        <w:ind w:firstLine="5669" w:left="0" w:right="0"/>
        <w:jc w:val="left"/>
        <w:rPr>
          <w:rFonts w:ascii="PT Astra Serif" w:hAnsi="PT Astra Serif"/>
          <w:b w:val="0"/>
          <w:i w:val="0"/>
          <w:caps w:val="0"/>
          <w:color w:val="000000"/>
          <w:spacing w:val="0"/>
          <w:sz w:val="24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4"/>
          <w:highlight w:val="white"/>
          <w:u w:val="none"/>
        </w:rPr>
        <w:t>от 05.08.2026 № 5638-П</w:t>
      </w:r>
    </w:p>
    <w:p w14:paraId="9C000000">
      <w:pPr>
        <w:widowControl w:val="0"/>
        <w:spacing w:after="0" w:before="0" w:line="240" w:lineRule="auto"/>
        <w:ind w:firstLine="709" w:left="0" w:right="0"/>
        <w:jc w:val="center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9D000000">
      <w:pPr>
        <w:widowControl w:val="0"/>
        <w:spacing w:after="0" w:before="0" w:line="240" w:lineRule="auto"/>
        <w:ind w:firstLine="709" w:left="0" w:right="0"/>
        <w:jc w:val="center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9E000000">
      <w:pPr>
        <w:widowControl w:val="0"/>
        <w:spacing w:after="0" w:before="0" w:line="240" w:lineRule="auto"/>
        <w:ind w:firstLine="709" w:left="0" w:right="0"/>
        <w:jc w:val="center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9F000000">
      <w:pPr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 xml:space="preserve">Перечень </w:t>
      </w:r>
    </w:p>
    <w:p w14:paraId="A0000000">
      <w:pPr>
        <w:widowControl w:val="0"/>
        <w:spacing w:after="0" w:before="0" w:line="240" w:lineRule="auto"/>
        <w:ind w:firstLine="0" w:left="0" w:right="0"/>
        <w:jc w:val="center"/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пунктов временного размещения и питания пострадавшего населения</w:t>
      </w:r>
      <w:r>
        <w:br/>
      </w:r>
      <w:r>
        <w:rPr>
          <w:rFonts w:ascii="PT Astra Serif" w:hAnsi="PT Astra Serif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на территории города Магнитогорска (далее - ПВР)</w:t>
      </w:r>
      <w:r>
        <w:rPr>
          <w:rFonts w:ascii="PT Astra Serif" w:hAnsi="PT Astra Serif"/>
          <w:b w:val="0"/>
          <w:color w:val="000000"/>
          <w:sz w:val="28"/>
          <w:u w:val="none"/>
        </w:rPr>
        <w:br/>
      </w:r>
    </w:p>
    <w:tbl>
      <w:tblPr>
        <w:tblStyle w:val="Style_3"/>
        <w:tblW w:type="auto" w:w="0"/>
        <w:jc w:val="center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57"/>
          <w:left w:type="dxa" w:w="108"/>
          <w:bottom w:type="dxa" w:w="57"/>
          <w:right w:type="dxa" w:w="108"/>
        </w:tblCellMar>
      </w:tblPr>
      <w:tblGrid>
        <w:gridCol w:w="1344"/>
        <w:gridCol w:w="5551"/>
        <w:gridCol w:w="2413"/>
      </w:tblGrid>
      <w:tr>
        <w:trPr>
          <w:trHeight w:hRule="atLeast" w:val="509"/>
        </w:trPr>
        <w:tc>
          <w:tcPr>
            <w:tcW w:type="dxa" w:w="134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7"/>
              <w:left w:type="dxa" w:w="108"/>
              <w:bottom w:type="dxa" w:w="57"/>
              <w:right w:type="dxa" w:w="108"/>
            </w:tcMar>
            <w:vAlign w:val="center"/>
          </w:tcPr>
          <w:p w14:paraId="A1000000">
            <w:pPr>
              <w:widowControl w:val="0"/>
              <w:spacing w:after="0" w:line="240" w:lineRule="auto"/>
              <w:ind w:firstLine="0" w:left="0" w:righ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</w:t>
            </w:r>
          </w:p>
          <w:p w14:paraId="A2000000">
            <w:pPr>
              <w:widowControl w:val="0"/>
              <w:spacing w:after="0" w:line="240" w:lineRule="auto"/>
              <w:ind w:firstLine="0" w:left="0" w:righ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ПВР</w:t>
            </w:r>
          </w:p>
        </w:tc>
        <w:tc>
          <w:tcPr>
            <w:tcW w:type="dxa" w:w="555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7"/>
              <w:left w:type="dxa" w:w="108"/>
              <w:bottom w:type="dxa" w:w="57"/>
              <w:right w:type="dxa" w:w="108"/>
            </w:tcMar>
            <w:vAlign w:val="center"/>
          </w:tcPr>
          <w:p w14:paraId="A3000000">
            <w:pPr>
              <w:widowControl w:val="0"/>
              <w:tabs>
                <w:tab w:leader="none" w:pos="601" w:val="left"/>
              </w:tabs>
              <w:spacing w:after="0" w:line="240" w:lineRule="auto"/>
              <w:ind w:firstLine="0" w:left="0" w:righ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Наименование учреждения</w:t>
            </w:r>
          </w:p>
        </w:tc>
        <w:tc>
          <w:tcPr>
            <w:tcW w:type="dxa" w:w="241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7"/>
              <w:left w:type="dxa" w:w="108"/>
              <w:bottom w:type="dxa" w:w="57"/>
              <w:right w:type="dxa" w:w="108"/>
            </w:tcMar>
            <w:vAlign w:val="center"/>
          </w:tcPr>
          <w:p w14:paraId="A4000000">
            <w:pPr>
              <w:widowControl w:val="0"/>
              <w:spacing w:after="0" w:line="240" w:lineRule="auto"/>
              <w:ind w:firstLine="0" w:left="0" w:righ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Адрес</w:t>
            </w:r>
          </w:p>
        </w:tc>
      </w:tr>
      <w:tr>
        <w:trPr>
          <w:trHeight w:hRule="atLeast" w:val="509"/>
        </w:trPr>
        <w:tc>
          <w:tcPr>
            <w:tcW w:type="dxa" w:w="134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7"/>
              <w:left w:type="dxa" w:w="108"/>
              <w:bottom w:type="dxa" w:w="57"/>
              <w:right w:type="dxa" w:w="108"/>
            </w:tcMar>
            <w:vAlign w:val="center"/>
          </w:tcPr>
          <w:p/>
        </w:tc>
        <w:tc>
          <w:tcPr>
            <w:tcW w:type="dxa" w:w="555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7"/>
              <w:left w:type="dxa" w:w="108"/>
              <w:bottom w:type="dxa" w:w="57"/>
              <w:right w:type="dxa" w:w="108"/>
            </w:tcMar>
            <w:vAlign w:val="center"/>
          </w:tcPr>
          <w:p/>
        </w:tc>
        <w:tc>
          <w:tcPr>
            <w:tcW w:type="dxa" w:w="241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7"/>
              <w:left w:type="dxa" w:w="108"/>
              <w:bottom w:type="dxa" w:w="57"/>
              <w:right w:type="dxa" w:w="108"/>
            </w:tcMar>
            <w:vAlign w:val="center"/>
          </w:tcPr>
          <w:p/>
        </w:tc>
      </w:tr>
      <w:tr>
        <w:trPr>
          <w:trHeight w:hRule="atLeast" w:val="687"/>
        </w:trPr>
        <w:tc>
          <w:tcPr>
            <w:tcW w:type="dxa" w:w="13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7"/>
              <w:left w:type="dxa" w:w="108"/>
              <w:bottom w:type="dxa" w:w="57"/>
              <w:right w:type="dxa" w:w="108"/>
            </w:tcMar>
          </w:tcPr>
          <w:p w14:paraId="A5000000">
            <w:pPr>
              <w:widowControl w:val="0"/>
              <w:spacing w:after="0" w:line="240" w:lineRule="auto"/>
              <w:ind w:firstLine="0" w:left="0" w:righ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</w:p>
        </w:tc>
        <w:tc>
          <w:tcPr>
            <w:tcW w:type="dxa" w:w="5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7"/>
              <w:left w:type="dxa" w:w="108"/>
              <w:bottom w:type="dxa" w:w="57"/>
              <w:right w:type="dxa" w:w="108"/>
            </w:tcMar>
          </w:tcPr>
          <w:p w14:paraId="A6000000">
            <w:pPr>
              <w:widowControl w:val="0"/>
              <w:tabs>
                <w:tab w:leader="none" w:pos="601" w:val="left"/>
              </w:tabs>
              <w:spacing w:after="0" w:line="240" w:lineRule="auto"/>
              <w:ind w:firstLine="0" w:left="0" w:right="0"/>
              <w:jc w:val="lef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Муниципальное общеобразовательное учреждение «Санаторная школа-интернат № 2 для детей, нуждающихся в длительном лечении» г</w:t>
            </w:r>
            <w:r>
              <w:rPr>
                <w:rFonts w:ascii="PT Astra Serif" w:hAnsi="PT Astra Serif"/>
                <w:sz w:val="28"/>
              </w:rPr>
              <w:t>орода</w:t>
            </w:r>
            <w:r>
              <w:rPr>
                <w:rFonts w:ascii="PT Astra Serif" w:hAnsi="PT Astra Serif"/>
                <w:sz w:val="28"/>
              </w:rPr>
              <w:t xml:space="preserve"> Магнитогорска</w:t>
            </w:r>
          </w:p>
        </w:tc>
        <w:tc>
          <w:tcPr>
            <w:tcW w:type="dxa" w:w="24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7"/>
              <w:left w:type="dxa" w:w="108"/>
              <w:bottom w:type="dxa" w:w="57"/>
              <w:right w:type="dxa" w:w="108"/>
            </w:tcMar>
          </w:tcPr>
          <w:p w14:paraId="A7000000">
            <w:pPr>
              <w:widowControl w:val="0"/>
              <w:spacing w:after="0" w:line="240" w:lineRule="auto"/>
              <w:ind w:firstLine="0" w:left="0" w:righ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г. Магнитогорск,</w:t>
            </w:r>
          </w:p>
          <w:p w14:paraId="A8000000">
            <w:pPr>
              <w:widowControl w:val="0"/>
              <w:spacing w:after="0" w:line="240" w:lineRule="auto"/>
              <w:ind w:firstLine="0" w:left="0" w:righ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ул. Лесная, 6</w:t>
            </w:r>
          </w:p>
        </w:tc>
      </w:tr>
      <w:tr>
        <w:trPr>
          <w:trHeight w:hRule="atLeast" w:val="719"/>
        </w:trPr>
        <w:tc>
          <w:tcPr>
            <w:tcW w:type="dxa" w:w="13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7"/>
              <w:left w:type="dxa" w:w="108"/>
              <w:bottom w:type="dxa" w:w="57"/>
              <w:right w:type="dxa" w:w="108"/>
            </w:tcMar>
          </w:tcPr>
          <w:p w14:paraId="A9000000">
            <w:pPr>
              <w:widowControl w:val="0"/>
              <w:spacing w:after="0" w:line="240" w:lineRule="auto"/>
              <w:ind w:firstLine="0" w:left="0" w:righ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</w:t>
            </w:r>
          </w:p>
        </w:tc>
        <w:tc>
          <w:tcPr>
            <w:tcW w:type="dxa" w:w="5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7"/>
              <w:left w:type="dxa" w:w="108"/>
              <w:bottom w:type="dxa" w:w="57"/>
              <w:right w:type="dxa" w:w="108"/>
            </w:tcMar>
          </w:tcPr>
          <w:p w14:paraId="AA000000">
            <w:pPr>
              <w:widowControl w:val="0"/>
              <w:spacing w:after="0" w:line="240" w:lineRule="auto"/>
              <w:ind w:firstLine="0" w:left="0" w:right="0"/>
              <w:jc w:val="lef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Муниципальное общеобразовательное учреждение</w:t>
            </w:r>
            <w:r>
              <w:rPr>
                <w:rFonts w:ascii="PT Astra Serif" w:hAnsi="PT Astra Serif"/>
                <w:sz w:val="28"/>
              </w:rPr>
              <w:t xml:space="preserve"> «Специальная (коррекционная) общеобразовательная школа-интернат № 3» города Магнитогорска</w:t>
            </w:r>
          </w:p>
        </w:tc>
        <w:tc>
          <w:tcPr>
            <w:tcW w:type="dxa" w:w="24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7"/>
              <w:left w:type="dxa" w:w="108"/>
              <w:bottom w:type="dxa" w:w="57"/>
              <w:right w:type="dxa" w:w="108"/>
            </w:tcMar>
          </w:tcPr>
          <w:p w14:paraId="AB000000">
            <w:pPr>
              <w:widowControl w:val="0"/>
              <w:spacing w:after="0" w:line="240" w:lineRule="auto"/>
              <w:ind w:firstLine="0" w:left="0" w:righ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г. Магнитогорск,</w:t>
            </w:r>
          </w:p>
          <w:p w14:paraId="AC000000">
            <w:pPr>
              <w:widowControl w:val="0"/>
              <w:spacing w:after="0" w:line="240" w:lineRule="auto"/>
              <w:ind w:firstLine="0" w:left="0" w:righ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ул. </w:t>
            </w:r>
            <w:r>
              <w:rPr>
                <w:rFonts w:ascii="PT Astra Serif" w:hAnsi="PT Astra Serif"/>
                <w:sz w:val="28"/>
              </w:rPr>
              <w:t>Тевосяна</w:t>
            </w:r>
            <w:r>
              <w:rPr>
                <w:rFonts w:ascii="PT Astra Serif" w:hAnsi="PT Astra Serif"/>
                <w:sz w:val="28"/>
              </w:rPr>
              <w:t>, 6</w:t>
            </w:r>
          </w:p>
        </w:tc>
      </w:tr>
      <w:tr>
        <w:trPr>
          <w:trHeight w:hRule="atLeast" w:val="470"/>
        </w:trPr>
        <w:tc>
          <w:tcPr>
            <w:tcW w:type="dxa" w:w="13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7"/>
              <w:left w:type="dxa" w:w="108"/>
              <w:bottom w:type="dxa" w:w="57"/>
              <w:right w:type="dxa" w:w="108"/>
            </w:tcMar>
          </w:tcPr>
          <w:p w14:paraId="AD000000">
            <w:pPr>
              <w:widowControl w:val="0"/>
              <w:spacing w:after="0" w:line="240" w:lineRule="auto"/>
              <w:ind w:firstLine="0" w:left="0" w:righ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</w:t>
            </w:r>
          </w:p>
        </w:tc>
        <w:tc>
          <w:tcPr>
            <w:tcW w:type="dxa" w:w="5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7"/>
              <w:left w:type="dxa" w:w="108"/>
              <w:bottom w:type="dxa" w:w="57"/>
              <w:right w:type="dxa" w:w="108"/>
            </w:tcMar>
          </w:tcPr>
          <w:p w14:paraId="AE000000">
            <w:pPr>
              <w:widowControl w:val="0"/>
              <w:spacing w:after="0" w:line="240" w:lineRule="auto"/>
              <w:ind w:firstLine="0" w:left="0" w:right="0"/>
              <w:jc w:val="lef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Муниципальное общеобразовательное учреждение</w:t>
            </w:r>
            <w:r>
              <w:rPr>
                <w:rFonts w:ascii="PT Astra Serif" w:hAnsi="PT Astra Serif"/>
                <w:sz w:val="28"/>
              </w:rPr>
              <w:t xml:space="preserve"> «Специальная (коррекционная) общеобразовательная школа-интернат № 4» города Магнитогорска</w:t>
            </w:r>
          </w:p>
        </w:tc>
        <w:tc>
          <w:tcPr>
            <w:tcW w:type="dxa" w:w="24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7"/>
              <w:left w:type="dxa" w:w="108"/>
              <w:bottom w:type="dxa" w:w="57"/>
              <w:right w:type="dxa" w:w="108"/>
            </w:tcMar>
          </w:tcPr>
          <w:p w14:paraId="AF000000">
            <w:pPr>
              <w:widowControl w:val="0"/>
              <w:spacing w:after="0" w:line="240" w:lineRule="auto"/>
              <w:ind w:firstLine="0" w:left="0" w:righ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г. Магнитогорск,</w:t>
            </w:r>
          </w:p>
          <w:p w14:paraId="B0000000">
            <w:pPr>
              <w:widowControl w:val="0"/>
              <w:spacing w:after="0" w:line="240" w:lineRule="auto"/>
              <w:ind w:firstLine="0" w:left="0" w:righ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ул. Суворова, 110</w:t>
            </w:r>
          </w:p>
        </w:tc>
      </w:tr>
      <w:tr>
        <w:trPr>
          <w:trHeight w:hRule="atLeast" w:val="97"/>
        </w:trPr>
        <w:tc>
          <w:tcPr>
            <w:tcW w:type="dxa" w:w="13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7"/>
              <w:left w:type="dxa" w:w="108"/>
              <w:bottom w:type="dxa" w:w="57"/>
              <w:right w:type="dxa" w:w="108"/>
            </w:tcMar>
          </w:tcPr>
          <w:p w14:paraId="B1000000">
            <w:pPr>
              <w:widowControl w:val="0"/>
              <w:spacing w:after="0" w:line="240" w:lineRule="auto"/>
              <w:ind w:firstLine="0" w:left="0" w:righ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4</w:t>
            </w:r>
          </w:p>
        </w:tc>
        <w:tc>
          <w:tcPr>
            <w:tcW w:type="dxa" w:w="5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7"/>
              <w:left w:type="dxa" w:w="108"/>
              <w:bottom w:type="dxa" w:w="57"/>
              <w:right w:type="dxa" w:w="108"/>
            </w:tcMar>
          </w:tcPr>
          <w:p w14:paraId="B2000000">
            <w:pPr>
              <w:widowControl w:val="0"/>
              <w:spacing w:after="0" w:line="240" w:lineRule="auto"/>
              <w:ind w:firstLine="0" w:left="0" w:right="0"/>
              <w:jc w:val="lef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Муниципальное общеобразовательное учреждение</w:t>
            </w:r>
            <w:r>
              <w:rPr>
                <w:rFonts w:ascii="PT Astra Serif" w:hAnsi="PT Astra Serif"/>
                <w:sz w:val="28"/>
              </w:rPr>
              <w:t xml:space="preserve"> «Специальная (коррекционная) общеобра</w:t>
            </w:r>
            <w:r>
              <w:rPr>
                <w:rFonts w:ascii="PT Astra Serif" w:hAnsi="PT Astra Serif"/>
                <w:sz w:val="28"/>
              </w:rPr>
              <w:t xml:space="preserve">зовательная школа-интернат </w:t>
            </w:r>
            <w:r>
              <w:rPr>
                <w:rFonts w:ascii="PT Astra Serif" w:hAnsi="PT Astra Serif"/>
              </w:rPr>
              <w:br/>
            </w:r>
            <w:r>
              <w:rPr>
                <w:rFonts w:ascii="PT Astra Serif" w:hAnsi="PT Astra Serif"/>
                <w:sz w:val="28"/>
              </w:rPr>
              <w:t>№ 52» города Магнитогорска</w:t>
            </w:r>
          </w:p>
        </w:tc>
        <w:tc>
          <w:tcPr>
            <w:tcW w:type="dxa" w:w="24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7"/>
              <w:left w:type="dxa" w:w="108"/>
              <w:bottom w:type="dxa" w:w="57"/>
              <w:right w:type="dxa" w:w="108"/>
            </w:tcMar>
          </w:tcPr>
          <w:p w14:paraId="B3000000">
            <w:pPr>
              <w:widowControl w:val="0"/>
              <w:spacing w:after="0" w:line="240" w:lineRule="auto"/>
              <w:ind w:firstLine="0" w:left="0" w:righ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г. Магнитогорск,</w:t>
            </w:r>
          </w:p>
          <w:p w14:paraId="B4000000">
            <w:pPr>
              <w:widowControl w:val="0"/>
              <w:spacing w:after="0" w:line="240" w:lineRule="auto"/>
              <w:ind w:firstLine="0" w:left="0" w:righ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пер. Ржевского, 4</w:t>
            </w:r>
          </w:p>
        </w:tc>
      </w:tr>
    </w:tbl>
    <w:p w14:paraId="B5000000">
      <w:pPr>
        <w:widowControl w:val="0"/>
        <w:spacing w:after="0" w:line="240" w:lineRule="auto"/>
        <w:ind w:firstLine="0" w:left="0" w:right="0"/>
        <w:jc w:val="left"/>
        <w:rPr>
          <w:rFonts w:ascii="PT Astra Serif" w:hAnsi="PT Astra Serif"/>
          <w:b w:val="0"/>
          <w:color w:val="000000"/>
          <w:sz w:val="28"/>
          <w:u w:val="none"/>
        </w:rPr>
      </w:pPr>
    </w:p>
    <w:sectPr>
      <w:headerReference r:id="rId1" w:type="default"/>
      <w:footerReference r:id="rId3" w:type="first"/>
      <w:type w:val="nextPage"/>
      <w:pgSz w:h="16838" w:orient="portrait" w:w="11906"/>
      <w:pgMar w:bottom="1134" w:footer="709" w:gutter="0" w:header="709" w:left="1701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Вр-2445336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Вр-2445336</w:t>
    </w: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Вр-2445336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0"/>
      <w:ind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8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2" w:type="paragraph">
    <w:name w:val="footer"/>
    <w:basedOn w:val="Style_4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4_ch"/>
    <w:link w:val="Style_2"/>
  </w:style>
  <w:style w:styleId="Style_7" w:type="paragraph">
    <w:name w:val="toc 6"/>
    <w:next w:val="Style_4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4"/>
    <w:link w:val="Style_1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" w:type="paragraph">
    <w:name w:val="header"/>
    <w:basedOn w:val="Style_4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14" w:type="paragraph">
    <w:name w:val="heading 1"/>
    <w:next w:val="Style_4"/>
    <w:link w:val="Style_14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Balloon Text"/>
    <w:basedOn w:val="Style_4"/>
    <w:link w:val="Style_19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19_ch" w:type="character">
    <w:name w:val="Balloon Text"/>
    <w:basedOn w:val="Style_4_ch"/>
    <w:link w:val="Style_19"/>
    <w:rPr>
      <w:rFonts w:ascii="Tahoma" w:hAnsi="Tahoma"/>
      <w:sz w:val="16"/>
    </w:rPr>
  </w:style>
  <w:style w:styleId="Style_20" w:type="paragraph">
    <w:name w:val="toc 9"/>
    <w:next w:val="Style_4"/>
    <w:link w:val="Style_20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table">
    <w:name w:val="Table Grid"/>
    <w:basedOn w:val="Style_3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header6.xml" Type="http://schemas.openxmlformats.org/officeDocument/2006/relationships/head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header2.xml" Type="http://schemas.openxmlformats.org/officeDocument/2006/relationships/header"/>
  <Relationship Id="rId3" Target="footer3.xml" Type="http://schemas.openxmlformats.org/officeDocument/2006/relationships/foot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footer5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2026-08-05T05:29:10Z</dcterms:created>
  <dcterms:modified xsi:type="dcterms:W3CDTF">2026-08-06T04:30:06Z</dcterms:modified>
</cp:coreProperties>
</file>