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6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8000000">
      <w:pPr>
        <w:widowControl w:val="0"/>
        <w:ind/>
        <w:jc w:val="center"/>
        <w:rPr>
          <w:sz w:val="28"/>
        </w:rPr>
      </w:pPr>
      <w:r>
        <w:rPr>
          <w:sz w:val="28"/>
        </w:rPr>
        <w:t>АДМИНИСТРАЦИЯ ГОРОДА МАГНИТОГОРСКА</w:t>
      </w:r>
    </w:p>
    <w:p w14:paraId="09000000">
      <w:pPr>
        <w:widowControl w:val="0"/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0A000000">
      <w:pPr>
        <w:widowControl w:val="0"/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B000000">
      <w:pPr>
        <w:rPr>
          <w:spacing w:val="-4"/>
          <w:sz w:val="28"/>
        </w:rPr>
      </w:pPr>
    </w:p>
    <w:p w14:paraId="0C000000">
      <w:pPr>
        <w:widowControl w:val="0"/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29.</w:t>
      </w:r>
      <w:r>
        <w:rPr>
          <w:spacing w:val="-4"/>
          <w:sz w:val="28"/>
        </w:rPr>
        <w:t>07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5472</w:t>
      </w:r>
      <w:r>
        <w:rPr>
          <w:spacing w:val="-4"/>
          <w:sz w:val="28"/>
        </w:rPr>
        <w:t>-П</w:t>
      </w:r>
    </w:p>
    <w:p w14:paraId="0D000000">
      <w:pPr>
        <w:pStyle w:val="Style_3"/>
        <w:widowControl w:val="1"/>
        <w:spacing w:after="0" w:before="0" w:line="240" w:lineRule="auto"/>
        <w:ind w:firstLine="0" w:left="0" w:right="4479"/>
        <w:jc w:val="left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 внесении изменений в постановление администрации города Магнитогорска от 23.12.2022 № 14128-П</w:t>
      </w:r>
    </w:p>
    <w:p w14:paraId="0E000000">
      <w:pPr>
        <w:pStyle w:val="Style_3"/>
        <w:widowControl w:val="1"/>
        <w:spacing w:after="0" w:before="0" w:line="240" w:lineRule="auto"/>
        <w:ind/>
        <w:rPr>
          <w:rFonts w:ascii="PT Astra Serif" w:hAnsi="PT Astra Serif"/>
          <w:sz w:val="26"/>
        </w:rPr>
      </w:pPr>
    </w:p>
    <w:p w14:paraId="0F000000">
      <w:pPr>
        <w:pStyle w:val="Style_3"/>
        <w:widowControl w:val="1"/>
        <w:tabs>
          <w:tab w:leader="none" w:pos="708" w:val="clear"/>
          <w:tab w:leader="none" w:pos="851" w:val="left"/>
        </w:tabs>
        <w:spacing w:after="0" w:before="0" w:line="240" w:lineRule="auto"/>
        <w:ind w:firstLine="709" w:left="0" w:right="0"/>
        <w:jc w:val="both"/>
      </w:pPr>
      <w:r>
        <w:rPr>
          <w:rFonts w:ascii="PT Astra Serif" w:hAnsi="PT Astra Serif"/>
          <w:sz w:val="28"/>
        </w:rPr>
        <w:t xml:space="preserve">В соответствии с </w:t>
      </w:r>
      <w:r>
        <w:rPr>
          <w:rFonts w:ascii="PT Astra Serif" w:hAnsi="PT Astra Serif"/>
          <w:sz w:val="28"/>
        </w:rPr>
        <w:fldChar w:fldCharType="begin"/>
      </w:r>
      <w:r>
        <w:rPr>
          <w:rFonts w:ascii="PT Astra Serif" w:hAnsi="PT Astra Serif"/>
          <w:sz w:val="28"/>
        </w:rPr>
        <w:instrText>HYPERLINK "garantf1://12012604.78111"</w:instrText>
      </w:r>
      <w:r>
        <w:rPr>
          <w:rFonts w:ascii="PT Astra Serif" w:hAnsi="PT Astra Serif"/>
          <w:sz w:val="28"/>
        </w:rPr>
        <w:fldChar w:fldCharType="separate"/>
      </w:r>
      <w:r>
        <w:rPr>
          <w:rFonts w:ascii="PT Astra Serif" w:hAnsi="PT Astra Serif"/>
          <w:sz w:val="28"/>
        </w:rPr>
        <w:t>абзацем вторым пункта 1 статьи 78.1</w:t>
      </w:r>
      <w:r>
        <w:rPr>
          <w:rFonts w:ascii="PT Astra Serif" w:hAnsi="PT Astra Serif"/>
          <w:sz w:val="28"/>
        </w:rPr>
        <w:fldChar w:fldCharType="end"/>
      </w:r>
      <w:r>
        <w:rPr>
          <w:rFonts w:ascii="PT Astra Serif" w:hAnsi="PT Astra Serif"/>
          <w:sz w:val="28"/>
        </w:rPr>
        <w:t xml:space="preserve"> Бюджетного кодекса Российской Федерации, </w:t>
      </w:r>
      <w:r>
        <w:rPr>
          <w:rFonts w:ascii="PT Astra Serif" w:hAnsi="PT Astra Serif"/>
          <w:sz w:val="28"/>
        </w:rPr>
        <w:fldChar w:fldCharType="begin"/>
      </w:r>
      <w:r>
        <w:rPr>
          <w:rFonts w:ascii="PT Astra Serif" w:hAnsi="PT Astra Serif"/>
          <w:sz w:val="28"/>
        </w:rPr>
        <w:instrText>HYPERLINK "garantf1://12075589.30016"</w:instrText>
      </w:r>
      <w:r>
        <w:rPr>
          <w:rFonts w:ascii="PT Astra Serif" w:hAnsi="PT Astra Serif"/>
          <w:sz w:val="28"/>
        </w:rPr>
        <w:fldChar w:fldCharType="separate"/>
      </w:r>
      <w:r>
        <w:rPr>
          <w:rFonts w:ascii="PT Astra Serif" w:hAnsi="PT Astra Serif"/>
          <w:sz w:val="28"/>
        </w:rPr>
        <w:t>пунктом 16 статьи 30</w:t>
      </w:r>
      <w:r>
        <w:rPr>
          <w:rFonts w:ascii="PT Astra Serif" w:hAnsi="PT Astra Serif"/>
          <w:sz w:val="28"/>
        </w:rPr>
        <w:fldChar w:fldCharType="end"/>
      </w:r>
      <w:r>
        <w:rPr>
          <w:rFonts w:ascii="PT Astra Serif" w:hAnsi="PT Astra Serif"/>
          <w:sz w:val="28"/>
        </w:rPr>
        <w:t xml:space="preserve"> Федерального закона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от 08.05.2010 № 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учреждений», федеральными законами от 12.01.1996 № 7-ФЗ </w:t>
      </w:r>
      <w:r>
        <w:rPr>
          <w:rFonts w:ascii="PT Astra Serif" w:hAnsi="PT Astra Serif"/>
          <w:sz w:val="28"/>
        </w:rPr>
        <w:fldChar w:fldCharType="begin"/>
      </w:r>
      <w:r>
        <w:rPr>
          <w:rFonts w:ascii="PT Astra Serif" w:hAnsi="PT Astra Serif"/>
          <w:sz w:val="28"/>
        </w:rPr>
        <w:instrText>HYPERLINK "garantf1://10005879.926"</w:instrText>
      </w:r>
      <w:r>
        <w:rPr>
          <w:rFonts w:ascii="PT Astra Serif" w:hAnsi="PT Astra Serif"/>
          <w:sz w:val="28"/>
        </w:rPr>
        <w:fldChar w:fldCharType="separate"/>
      </w:r>
      <w:r>
        <w:rPr>
          <w:rFonts w:ascii="PT Astra Serif" w:hAnsi="PT Astra Serif"/>
          <w:sz w:val="28"/>
        </w:rPr>
        <w:t>«О некоммерческих организациях»</w:t>
      </w:r>
      <w:r>
        <w:rPr>
          <w:rFonts w:ascii="PT Astra Serif" w:hAnsi="PT Astra Serif"/>
          <w:sz w:val="28"/>
        </w:rPr>
        <w:fldChar w:fldCharType="end"/>
      </w:r>
      <w:r>
        <w:rPr>
          <w:rFonts w:ascii="PT Astra Serif" w:hAnsi="PT Astra Serif"/>
          <w:sz w:val="28"/>
        </w:rPr>
        <w:t xml:space="preserve">,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от 03.11.2006 № 174-ФЗ </w:t>
      </w:r>
      <w:r>
        <w:rPr>
          <w:rFonts w:ascii="PT Astra Serif" w:hAnsi="PT Astra Serif"/>
          <w:sz w:val="28"/>
        </w:rPr>
        <w:fldChar w:fldCharType="begin"/>
      </w:r>
      <w:r>
        <w:rPr>
          <w:rFonts w:ascii="PT Astra Serif" w:hAnsi="PT Astra Serif"/>
          <w:sz w:val="28"/>
        </w:rPr>
        <w:instrText>HYPERLINK "garantf1://90157.44"</w:instrText>
      </w:r>
      <w:r>
        <w:rPr>
          <w:rFonts w:ascii="PT Astra Serif" w:hAnsi="PT Astra Serif"/>
          <w:sz w:val="28"/>
        </w:rPr>
        <w:fldChar w:fldCharType="separate"/>
      </w:r>
      <w:r>
        <w:rPr>
          <w:rFonts w:ascii="PT Astra Serif" w:hAnsi="PT Astra Serif"/>
          <w:sz w:val="28"/>
        </w:rPr>
        <w:t>«Об автономных учреждениях»</w:t>
      </w:r>
      <w:r>
        <w:rPr>
          <w:rFonts w:ascii="PT Astra Serif" w:hAnsi="PT Astra Serif"/>
          <w:sz w:val="28"/>
        </w:rPr>
        <w:fldChar w:fldCharType="end"/>
      </w:r>
      <w:r>
        <w:rPr>
          <w:rFonts w:ascii="PT Astra Serif" w:hAnsi="PT Astra Serif"/>
          <w:sz w:val="28"/>
        </w:rPr>
        <w:t xml:space="preserve">, </w:t>
      </w:r>
      <w:r>
        <w:rPr>
          <w:rFonts w:ascii="PT Astra Serif" w:hAnsi="PT Astra Serif"/>
          <w:sz w:val="28"/>
        </w:rPr>
        <w:fldChar w:fldCharType="begin"/>
      </w:r>
      <w:r>
        <w:rPr>
          <w:rFonts w:ascii="PT Astra Serif" w:hAnsi="PT Astra Serif"/>
          <w:sz w:val="28"/>
        </w:rPr>
        <w:instrText>HYPERLINK "garantf1://73571487.0"</w:instrText>
      </w:r>
      <w:r>
        <w:rPr>
          <w:rFonts w:ascii="PT Astra Serif" w:hAnsi="PT Astra Serif"/>
          <w:sz w:val="28"/>
        </w:rPr>
        <w:fldChar w:fldCharType="separate"/>
      </w:r>
      <w:r>
        <w:rPr>
          <w:rFonts w:ascii="PT Astra Serif" w:hAnsi="PT Astra Serif"/>
          <w:sz w:val="28"/>
        </w:rPr>
        <w:t>постановлением</w:t>
      </w:r>
      <w:r>
        <w:rPr>
          <w:rFonts w:ascii="PT Astra Serif" w:hAnsi="PT Astra Serif"/>
          <w:sz w:val="28"/>
        </w:rPr>
        <w:fldChar w:fldCharType="end"/>
      </w:r>
      <w:r>
        <w:rPr>
          <w:rFonts w:ascii="PT Astra Serif" w:hAnsi="PT Astra Serif"/>
          <w:sz w:val="28"/>
        </w:rPr>
        <w:t xml:space="preserve"> Правительства Российской Федерации от 22.02.2020 № 203 «Об общих требованиях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цели», руководствуясь </w:t>
      </w:r>
      <w:r>
        <w:rPr>
          <w:rFonts w:ascii="PT Astra Serif" w:hAnsi="PT Astra Serif"/>
          <w:sz w:val="28"/>
        </w:rPr>
        <w:fldChar w:fldCharType="begin"/>
      </w:r>
      <w:r>
        <w:rPr>
          <w:rFonts w:ascii="PT Astra Serif" w:hAnsi="PT Astra Serif"/>
          <w:sz w:val="28"/>
        </w:rPr>
        <w:instrText>HYPERLINK "garantf1://8601737.34"</w:instrText>
      </w:r>
      <w:r>
        <w:rPr>
          <w:rFonts w:ascii="PT Astra Serif" w:hAnsi="PT Astra Serif"/>
          <w:sz w:val="28"/>
        </w:rPr>
        <w:fldChar w:fldCharType="separate"/>
      </w:r>
      <w:r>
        <w:rPr>
          <w:rFonts w:ascii="PT Astra Serif" w:hAnsi="PT Astra Serif"/>
          <w:sz w:val="28"/>
        </w:rPr>
        <w:t>Уставом</w:t>
      </w:r>
      <w:r>
        <w:rPr>
          <w:rFonts w:ascii="PT Astra Serif" w:hAnsi="PT Astra Serif"/>
          <w:sz w:val="28"/>
        </w:rPr>
        <w:fldChar w:fldCharType="end"/>
      </w:r>
      <w:r>
        <w:rPr>
          <w:rFonts w:ascii="PT Astra Serif" w:hAnsi="PT Astra Serif"/>
          <w:sz w:val="28"/>
        </w:rPr>
        <w:t xml:space="preserve"> города Магнитогорска,</w:t>
      </w:r>
    </w:p>
    <w:p w14:paraId="10000000">
      <w:pPr>
        <w:pStyle w:val="Style_3"/>
        <w:widowControl w:val="1"/>
        <w:tabs>
          <w:tab w:leader="none" w:pos="708" w:val="clear"/>
          <w:tab w:leader="none" w:pos="851" w:val="left"/>
        </w:tabs>
        <w:spacing w:after="0" w:before="0" w:line="240" w:lineRule="auto"/>
        <w:ind/>
        <w:jc w:val="both"/>
        <w:rPr>
          <w:rFonts w:ascii="PT Astra Serif" w:hAnsi="PT Astra Serif"/>
          <w:sz w:val="26"/>
        </w:rPr>
      </w:pPr>
    </w:p>
    <w:p w14:paraId="11000000">
      <w:pPr>
        <w:pStyle w:val="Style_3"/>
        <w:widowControl w:val="1"/>
        <w:tabs>
          <w:tab w:leader="none" w:pos="708" w:val="clear"/>
          <w:tab w:leader="none" w:pos="851" w:val="left"/>
        </w:tabs>
        <w:spacing w:after="0" w:before="0" w:line="240" w:lineRule="auto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ПОСТАНОВЛЯЮ:</w:t>
      </w:r>
    </w:p>
    <w:p w14:paraId="12000000">
      <w:pPr>
        <w:pStyle w:val="Style_3"/>
        <w:widowControl w:val="1"/>
        <w:tabs>
          <w:tab w:leader="none" w:pos="708" w:val="clear"/>
          <w:tab w:leader="none" w:pos="851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1. Внести в постановление администрации города Магнитогорска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от 23.12.2022 № 14128-П «Об утверждении Порядка определения объема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 условия предоставления из бюджета города Магнитогорска муниципальным бюджетным и муниципальным автономным учреждениям, подведомственным Управлению культуры администрации города Магнитогорска, субсидий на иные цели» (далее – постановление) следующие изменения:</w:t>
      </w:r>
    </w:p>
    <w:p w14:paraId="13000000">
      <w:pPr>
        <w:pStyle w:val="Style_3"/>
        <w:widowControl w:val="1"/>
        <w:tabs>
          <w:tab w:leader="none" w:pos="708" w:val="clear"/>
          <w:tab w:leader="none" w:pos="851" w:val="left"/>
          <w:tab w:leader="none" w:pos="1095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1)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пун</w:t>
      </w:r>
      <w:r>
        <w:rPr>
          <w:rFonts w:ascii="PT Astra Serif" w:hAnsi="PT Astra Serif"/>
          <w:color w:val="000000"/>
          <w:sz w:val="28"/>
        </w:rPr>
        <w:t xml:space="preserve">кт 4 приложения к постановлению изложить </w:t>
      </w:r>
      <w:r>
        <w:rPr>
          <w:rFonts w:ascii="PT Astra Serif" w:hAnsi="PT Astra Serif"/>
          <w:sz w:val="28"/>
        </w:rPr>
        <w:t>в следующей редакции:</w:t>
      </w:r>
    </w:p>
    <w:p w14:paraId="14000000">
      <w:pPr>
        <w:pStyle w:val="Style_3"/>
        <w:widowControl w:val="1"/>
        <w:tabs>
          <w:tab w:leader="none" w:pos="708" w:val="clear"/>
          <w:tab w:leader="none" w:pos="851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«4. Субсидии на иные цели предоставляются муниципальным учреждениям на следующие цели:</w:t>
      </w:r>
    </w:p>
    <w:p w14:paraId="15000000">
      <w:pPr>
        <w:pStyle w:val="Style_3"/>
        <w:widowControl w:val="1"/>
        <w:tabs>
          <w:tab w:leader="none" w:pos="708" w:val="clear"/>
          <w:tab w:leader="none" w:pos="1125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1)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достижение результатов (выполнение мероприятий) структурных элементов муниципальных программ, в случае если субсидии предоставляются в целях реализации соответствующих программ;</w:t>
      </w:r>
    </w:p>
    <w:p w14:paraId="16000000">
      <w:pPr>
        <w:pStyle w:val="Style_3"/>
        <w:widowControl w:val="1"/>
        <w:tabs>
          <w:tab w:leader="none" w:pos="708" w:val="clear"/>
          <w:tab w:leader="none" w:pos="1110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2)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приобретение основных средств, материальных запасов,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не включаемых в нормативные затраты на оказание муниципальных услуг (выполнение работ);</w:t>
      </w:r>
    </w:p>
    <w:p w14:paraId="17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3) реализация мероприятий, проводимых в рамках муниципальных программ, не включаемых в нормативные затраты на оказание муниципальных услуг (выполнение работ);</w:t>
      </w:r>
    </w:p>
    <w:p w14:paraId="18000000">
      <w:pPr>
        <w:pStyle w:val="Style_3"/>
        <w:widowControl w:val="1"/>
        <w:tabs>
          <w:tab w:leader="none" w:pos="708" w:val="clear"/>
          <w:tab w:leader="none" w:pos="1110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4)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проведение капитального и текущего ремонта недвижимого имущества, закрепленного за учреждением (включая разработку проектно-сметной документации, оплату за проведение государственной экспертизы проектно-сметной документации, проведение строительного контроля (надзора));</w:t>
      </w:r>
    </w:p>
    <w:p w14:paraId="19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5) проведение противоаварийных и противопожарных мероприятий (включая разработку проектно-сметной документации, оплату за проведение государственной и негосударственной экспертизы проектно-сметной документации, проведение строительного контроля (надзора));</w:t>
      </w:r>
    </w:p>
    <w:p w14:paraId="1A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6) осуществление расходов на уплату налогов, в качестве объекта налогообложения по которым признается недвижимое имущество, в том числе земельные участки, и особо ценное движимое имущество, закрепленное за учреждением на праве оперативного управления или постоянного (бессрочного) пользования (далее - имущество учреждения, признаваемое объектом налогообложения);</w:t>
      </w:r>
    </w:p>
    <w:p w14:paraId="1B000000">
      <w:pPr>
        <w:pStyle w:val="Style_3"/>
        <w:widowControl w:val="1"/>
        <w:tabs>
          <w:tab w:leader="none" w:pos="708" w:val="clear"/>
          <w:tab w:leader="none" w:pos="1095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7)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реализацию проектов инициативного бюджетирования;</w:t>
      </w:r>
    </w:p>
    <w:p w14:paraId="1C000000">
      <w:pPr>
        <w:pStyle w:val="Style_3"/>
        <w:widowControl w:val="1"/>
        <w:tabs>
          <w:tab w:leader="none" w:pos="708" w:val="clear"/>
          <w:tab w:leader="none" w:pos="1140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8)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проведение мероприятий по ликвидации последствий стихийных бедствий и других чрезвычайных ситуаций, в том числе на проведение аварийно-восстановительных работ и возмещение ущерба в случае чрезвычайных ситуаций на территории города Магнитогорска;</w:t>
      </w:r>
    </w:p>
    <w:p w14:paraId="1D000000">
      <w:pPr>
        <w:pStyle w:val="Style_3"/>
        <w:widowControl w:val="1"/>
        <w:tabs>
          <w:tab w:leader="none" w:pos="708" w:val="clear"/>
          <w:tab w:leader="none" w:pos="1125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9)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проведение иных мероприятий в сфере культуры в городе Магнитогорске, не относящихся к бюджетным инвестициям, расходам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на осуществление публичных обязательств перед физическим лицом, подлежащим исполнению в денежной форме, и не включенные в субсидии на муниципальное задание.</w:t>
      </w:r>
    </w:p>
    <w:p w14:paraId="1E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Субсидии на иные цели предоставляются муниципальным учреждениям на цели, предусмотренные мероприятиями соответствующих муниципальных программ.</w:t>
      </w:r>
    </w:p>
    <w:p w14:paraId="1F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В случае предоставления муниципальному учреждению средств субсидии из областного (федерального) бюджета расходование указанных средств осуществляется на цели, предусмотренные соответствующими правовыми актами.»;</w:t>
      </w:r>
    </w:p>
    <w:p w14:paraId="20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2) </w:t>
      </w:r>
      <w:r>
        <w:rPr>
          <w:rFonts w:ascii="PT Astra Serif" w:hAnsi="PT Astra Serif"/>
          <w:color w:val="000000"/>
          <w:sz w:val="28"/>
        </w:rPr>
        <w:t xml:space="preserve">пункт 6 </w:t>
      </w:r>
      <w:r>
        <w:rPr>
          <w:rFonts w:ascii="PT Astra Serif" w:hAnsi="PT Astra Serif"/>
          <w:color w:val="000000"/>
          <w:sz w:val="28"/>
        </w:rPr>
        <w:t>приложения к постановлению</w:t>
      </w:r>
      <w:r>
        <w:rPr>
          <w:rFonts w:ascii="PT Astra Serif" w:hAnsi="PT Astra Serif"/>
          <w:color w:val="000000"/>
          <w:sz w:val="28"/>
        </w:rPr>
        <w:t xml:space="preserve"> изложить в следующей редакции:</w:t>
      </w:r>
    </w:p>
    <w:p w14:paraId="21000000">
      <w:pPr>
        <w:pStyle w:val="Style_3"/>
        <w:widowControl w:val="1"/>
        <w:spacing w:after="0" w:before="0" w:line="240" w:lineRule="auto"/>
        <w:ind w:firstLine="709" w:left="0" w:right="0"/>
        <w:jc w:val="both"/>
      </w:pPr>
      <w:r>
        <w:rPr>
          <w:rStyle w:val="Style_4_ch"/>
          <w:rFonts w:ascii="PT Astra Serif" w:hAnsi="PT Astra Serif"/>
          <w:i w:val="0"/>
          <w:color w:val="000000"/>
          <w:sz w:val="28"/>
        </w:rPr>
        <w:t xml:space="preserve">«6. </w:t>
      </w:r>
      <w:r>
        <w:rPr>
          <w:rStyle w:val="Style_4_ch"/>
          <w:rFonts w:ascii="PT Astra Serif" w:hAnsi="PT Astra Serif"/>
          <w:i w:val="0"/>
          <w:sz w:val="28"/>
        </w:rPr>
        <w:t xml:space="preserve">Предоставление субсидий на иные цели осуществляется при условиях отсутствия у муниципального учреждения на 1-е число месяца, предшествующего месяцу, в котором планируется заключение Соглашения </w:t>
      </w:r>
      <w:r>
        <w:rPr>
          <w:rStyle w:val="Style_4_ch"/>
          <w:rFonts w:ascii="PT Astra Serif" w:hAnsi="PT Astra Serif"/>
          <w:i w:val="0"/>
          <w:sz w:val="28"/>
        </w:rPr>
        <w:br/>
      </w:r>
      <w:r>
        <w:rPr>
          <w:rStyle w:val="Style_4_ch"/>
          <w:rFonts w:ascii="PT Astra Serif" w:hAnsi="PT Astra Serif"/>
          <w:i w:val="0"/>
          <w:sz w:val="28"/>
        </w:rPr>
        <w:t xml:space="preserve">о порядке и условиях предоставления субсидии на иные цели (далее </w:t>
      </w:r>
      <w:r>
        <w:rPr>
          <w:rStyle w:val="Style_4_ch"/>
          <w:rFonts w:ascii="PT Astra Serif" w:hAnsi="PT Astra Serif"/>
          <w:i w:val="0"/>
          <w:sz w:val="28"/>
        </w:rPr>
        <w:t>–</w:t>
      </w:r>
      <w:r>
        <w:rPr>
          <w:rStyle w:val="Style_4_ch"/>
          <w:rFonts w:ascii="PT Astra Serif" w:hAnsi="PT Astra Serif"/>
          <w:i w:val="0"/>
          <w:sz w:val="28"/>
        </w:rPr>
        <w:t xml:space="preserve"> соглашение),</w:t>
      </w:r>
      <w:r>
        <w:rPr>
          <w:rStyle w:val="Style_5_ch"/>
          <w:rFonts w:ascii="PT Astra Serif" w:hAnsi="PT Astra Serif"/>
          <w:i w:val="0"/>
          <w:sz w:val="28"/>
        </w:rPr>
        <w:t xml:space="preserve"> на едином налоговом счете или непревышении размера, определенного </w:t>
      </w:r>
      <w:r>
        <w:rPr>
          <w:rFonts w:ascii="PT Astra Serif" w:hAnsi="PT Astra Serif"/>
          <w:i w:val="0"/>
          <w:color w:val="000000"/>
          <w:sz w:val="28"/>
        </w:rPr>
        <w:fldChar w:fldCharType="begin"/>
      </w:r>
      <w:r>
        <w:rPr>
          <w:rFonts w:ascii="PT Astra Serif" w:hAnsi="PT Astra Serif"/>
          <w:i w:val="0"/>
          <w:color w:val="000000"/>
          <w:sz w:val="28"/>
        </w:rPr>
        <w:instrText>HYPERLINK "https://internet.garant.ru/document/redirect/10900200/473"</w:instrText>
      </w:r>
      <w:r>
        <w:rPr>
          <w:rFonts w:ascii="PT Astra Serif" w:hAnsi="PT Astra Serif"/>
          <w:i w:val="0"/>
          <w:color w:val="000000"/>
          <w:sz w:val="28"/>
        </w:rPr>
        <w:fldChar w:fldCharType="separate"/>
      </w:r>
      <w:r>
        <w:rPr>
          <w:rFonts w:ascii="PT Astra Serif" w:hAnsi="PT Astra Serif"/>
          <w:i w:val="0"/>
          <w:color w:val="000000"/>
          <w:sz w:val="28"/>
        </w:rPr>
        <w:t>пунктом 3 статьи 47</w:t>
      </w:r>
      <w:r>
        <w:rPr>
          <w:rFonts w:ascii="PT Astra Serif" w:hAnsi="PT Astra Serif"/>
          <w:i w:val="0"/>
          <w:color w:val="000000"/>
          <w:sz w:val="28"/>
        </w:rPr>
        <w:fldChar w:fldCharType="end"/>
      </w:r>
      <w:r>
        <w:rPr>
          <w:rStyle w:val="Style_5_ch"/>
          <w:rFonts w:ascii="PT Astra Serif" w:hAnsi="PT Astra Serif"/>
          <w:i w:val="0"/>
          <w:sz w:val="28"/>
        </w:rPr>
        <w:t xml:space="preserve"> Налогового кодекса Российской Федерации, задолженности по уплате налогов, сборов и страховых взносов </w:t>
      </w:r>
      <w:r>
        <w:rPr>
          <w:rStyle w:val="Style_5_ch"/>
          <w:rFonts w:ascii="PT Astra Serif" w:hAnsi="PT Astra Serif"/>
          <w:i w:val="0"/>
          <w:sz w:val="28"/>
        </w:rPr>
        <w:br/>
      </w:r>
      <w:r>
        <w:rPr>
          <w:rStyle w:val="Style_5_ch"/>
          <w:rFonts w:ascii="PT Astra Serif" w:hAnsi="PT Astra Serif"/>
          <w:i w:val="0"/>
          <w:sz w:val="28"/>
        </w:rPr>
        <w:t>в бюджеты бюджетной системы Российской Федерации, просроченной задолженности по возврату в соответствующий бюджет бюджетной системы Российской Федерации субсидий, бюджетных инвестиций, предоставленных в том числе в соответствии с иными правовыми актами, и иной просроченной (неурегулированной) задолженности по денежным обязательствам перед соответствующим публично-правовым образованием, из бюджета которого планируется предоставление субсидий, за исключением случаев предоставления субсидии на осуществление мероприятий по реорганизации или ликвидации учреждения, предотвращение аварийной (чрезвычайной) ситуации, ликвидацию последствий и осуществление восстановительных работ в случае наступления аварийной (чрезвычайной) ситуации, погашение задолженности по судебным актам, вступившим в законную силу, исполнительным документам, а также за исключением иных случаев, установленных федеральными законами, нормативными правовыми актами Правительства Российской Федерации, высшего исполнительного органа субъекта Российской Федерации, муниципальными правовыми актами местной администрации.</w:t>
      </w:r>
      <w:r>
        <w:rPr>
          <w:rStyle w:val="Style_4_ch"/>
          <w:rFonts w:ascii="PT Astra Serif" w:hAnsi="PT Astra Serif"/>
          <w:i w:val="0"/>
          <w:sz w:val="28"/>
        </w:rPr>
        <w:t>»;</w:t>
      </w:r>
    </w:p>
    <w:p w14:paraId="22000000">
      <w:pPr>
        <w:pStyle w:val="Style_3"/>
        <w:widowControl w:val="1"/>
        <w:tabs>
          <w:tab w:leader="none" w:pos="708" w:val="clear"/>
          <w:tab w:leader="none" w:pos="851" w:val="left"/>
          <w:tab w:leader="none" w:pos="1095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3)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абзац 1 пункта 7 приложения к постановлению изложить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 следующей редакции:</w:t>
      </w:r>
    </w:p>
    <w:p w14:paraId="23000000">
      <w:pPr>
        <w:pStyle w:val="Style_3"/>
        <w:widowControl w:val="1"/>
        <w:tabs>
          <w:tab w:leader="none" w:pos="708" w:val="clear"/>
          <w:tab w:leader="none" w:pos="851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«7. Размер субсидии на иные цели, за исключением субсидии, предусмотренной подпунктом 6 пункта 4 настоящего Порядка, определяется по следующей формуле, но не более запрашиваемой суммы:»;</w:t>
      </w:r>
    </w:p>
    <w:p w14:paraId="24000000">
      <w:pPr>
        <w:pStyle w:val="Style_3"/>
        <w:widowControl w:val="1"/>
        <w:tabs>
          <w:tab w:leader="none" w:pos="708" w:val="clear"/>
          <w:tab w:leader="none" w:pos="851" w:val="left"/>
          <w:tab w:leader="none" w:pos="1125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4)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дополнить </w:t>
      </w:r>
      <w:r>
        <w:rPr>
          <w:rFonts w:ascii="PT Astra Serif" w:hAnsi="PT Astra Serif"/>
          <w:color w:val="000000"/>
          <w:sz w:val="28"/>
        </w:rPr>
        <w:t>главу</w:t>
      </w:r>
      <w:r>
        <w:rPr>
          <w:rFonts w:ascii="PT Astra Serif" w:hAnsi="PT Astra Serif"/>
          <w:sz w:val="28"/>
        </w:rPr>
        <w:t xml:space="preserve"> 2 «Условия и порядок предоставления субсидий» приложения к постановлению пунктами 7</w:t>
      </w:r>
      <w:r>
        <w:rPr>
          <w:rFonts w:ascii="PT Astra Serif" w:hAnsi="PT Astra Serif"/>
          <w:color w:val="000000"/>
          <w:sz w:val="28"/>
        </w:rPr>
        <w:t>-1 — 7-3</w:t>
      </w:r>
      <w:r>
        <w:rPr>
          <w:rFonts w:ascii="PT Astra Serif" w:hAnsi="PT Astra Serif"/>
          <w:sz w:val="28"/>
        </w:rPr>
        <w:t xml:space="preserve"> следующего содержания:</w:t>
      </w:r>
    </w:p>
    <w:p w14:paraId="25000000">
      <w:pPr>
        <w:pStyle w:val="Style_3"/>
        <w:widowControl w:val="1"/>
        <w:tabs>
          <w:tab w:leader="none" w:pos="708" w:val="clear"/>
          <w:tab w:leader="none" w:pos="851" w:val="left"/>
        </w:tabs>
        <w:spacing w:after="0" w:before="0" w:line="240" w:lineRule="auto"/>
        <w:ind w:firstLine="709" w:left="0" w:right="0"/>
        <w:jc w:val="both"/>
      </w:pPr>
      <w:r>
        <w:rPr>
          <w:rFonts w:ascii="PT Astra Serif" w:hAnsi="PT Astra Serif"/>
          <w:sz w:val="28"/>
        </w:rPr>
        <w:t xml:space="preserve">«7.1. Размер субсидии, предусмотренной </w:t>
      </w:r>
      <w:r>
        <w:rPr>
          <w:rFonts w:ascii="PT Astra Serif" w:hAnsi="PT Astra Serif"/>
          <w:sz w:val="28"/>
        </w:rPr>
        <w:fldChar w:fldCharType="begin"/>
      </w:r>
      <w:r>
        <w:rPr>
          <w:rFonts w:ascii="PT Astra Serif" w:hAnsi="PT Astra Serif"/>
          <w:sz w:val="28"/>
        </w:rPr>
        <w:instrText>HYPERLINK "https://internet.garant.ru/#/document/407994909/entry/100322"</w:instrText>
      </w:r>
      <w:r>
        <w:rPr>
          <w:rFonts w:ascii="PT Astra Serif" w:hAnsi="PT Astra Serif"/>
          <w:sz w:val="28"/>
        </w:rPr>
        <w:fldChar w:fldCharType="separate"/>
      </w:r>
      <w:r>
        <w:rPr>
          <w:rFonts w:ascii="PT Astra Serif" w:hAnsi="PT Astra Serif"/>
          <w:sz w:val="28"/>
        </w:rPr>
        <w:t>подпунктом 6 пункта 4</w:t>
      </w:r>
      <w:r>
        <w:rPr>
          <w:rFonts w:ascii="PT Astra Serif" w:hAnsi="PT Astra Serif"/>
          <w:sz w:val="28"/>
        </w:rPr>
        <w:fldChar w:fldCharType="end"/>
      </w:r>
      <w:r>
        <w:rPr>
          <w:rFonts w:ascii="PT Astra Serif" w:hAnsi="PT Astra Serif"/>
          <w:sz w:val="28"/>
        </w:rPr>
        <w:t xml:space="preserve"> настоящего Порядка, рассчитывается на основании сведений об имуществе учреждения, признаваемом объектом налогообложения, и в соответствии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с требованиями </w:t>
      </w:r>
      <w:r>
        <w:rPr>
          <w:rFonts w:ascii="PT Astra Serif" w:hAnsi="PT Astra Serif"/>
          <w:sz w:val="28"/>
        </w:rPr>
        <w:fldChar w:fldCharType="begin"/>
      </w:r>
      <w:r>
        <w:rPr>
          <w:rFonts w:ascii="PT Astra Serif" w:hAnsi="PT Astra Serif"/>
          <w:sz w:val="28"/>
        </w:rPr>
        <w:instrText>HYPERLINK "https://internet.garant.ru/#/document/10900200/entry/38"</w:instrText>
      </w:r>
      <w:r>
        <w:rPr>
          <w:rFonts w:ascii="PT Astra Serif" w:hAnsi="PT Astra Serif"/>
          <w:sz w:val="28"/>
        </w:rPr>
        <w:fldChar w:fldCharType="separate"/>
      </w:r>
      <w:r>
        <w:rPr>
          <w:rFonts w:ascii="PT Astra Serif" w:hAnsi="PT Astra Serif"/>
          <w:sz w:val="28"/>
        </w:rPr>
        <w:t>законодательства</w:t>
      </w:r>
      <w:r>
        <w:rPr>
          <w:rFonts w:ascii="PT Astra Serif" w:hAnsi="PT Astra Serif"/>
          <w:sz w:val="28"/>
        </w:rPr>
        <w:fldChar w:fldCharType="end"/>
      </w:r>
      <w:r>
        <w:rPr>
          <w:rFonts w:ascii="PT Astra Serif" w:hAnsi="PT Astra Serif"/>
          <w:sz w:val="28"/>
        </w:rPr>
        <w:t xml:space="preserve"> о налогах и сборах. </w:t>
      </w:r>
      <w:r>
        <w:rPr>
          <w:rFonts w:ascii="PT Astra Serif" w:hAnsi="PT Astra Serif"/>
          <w:b w:val="0"/>
          <w:sz w:val="28"/>
        </w:rPr>
        <w:t xml:space="preserve">При расчете размера указанной субсидии не учитывается имущество, сданное учреждением </w:t>
      </w:r>
      <w:r>
        <w:rPr>
          <w:rFonts w:ascii="PT Astra Serif" w:hAnsi="PT Astra Serif"/>
          <w:b w:val="0"/>
          <w:sz w:val="28"/>
        </w:rPr>
        <w:br/>
      </w:r>
      <w:r>
        <w:rPr>
          <w:rFonts w:ascii="PT Astra Serif" w:hAnsi="PT Astra Serif"/>
          <w:b w:val="0"/>
          <w:sz w:val="28"/>
        </w:rPr>
        <w:t>в аренду или переданное в безвозмездное пользование.</w:t>
      </w:r>
    </w:p>
    <w:p w14:paraId="26000000">
      <w:pPr>
        <w:pStyle w:val="Style_3"/>
        <w:widowControl w:val="1"/>
        <w:tabs>
          <w:tab w:leader="none" w:pos="708" w:val="clear"/>
          <w:tab w:leader="none" w:pos="851" w:val="left"/>
        </w:tabs>
        <w:spacing w:after="0" w:before="0" w:line="240" w:lineRule="auto"/>
        <w:ind w:firstLine="709" w:left="0" w:right="0"/>
        <w:jc w:val="both"/>
      </w:pPr>
      <w:r>
        <w:rPr>
          <w:rFonts w:ascii="PT Astra Serif" w:hAnsi="PT Astra Serif"/>
          <w:sz w:val="28"/>
        </w:rPr>
        <w:t xml:space="preserve">В случае если муниципальное учреждение оказывает сверх установленного муниципального задания муниципальные услуги (выполняет работы) для физических и юридических лиц с взиманием платы, а также осуществляет иную приносящую доход деятельность (далее </w:t>
      </w:r>
      <w:r>
        <w:rPr>
          <w:rFonts w:ascii="PT Astra Serif" w:hAnsi="PT Astra Serif"/>
          <w:sz w:val="28"/>
        </w:rPr>
        <w:t>–</w:t>
      </w:r>
      <w:r>
        <w:rPr>
          <w:rFonts w:ascii="PT Astra Serif" w:hAnsi="PT Astra Serif"/>
          <w:sz w:val="28"/>
        </w:rPr>
        <w:t xml:space="preserve"> платная деятельность), размер субсидии, предусмотренной </w:t>
      </w:r>
      <w:r>
        <w:rPr>
          <w:rFonts w:ascii="PT Astra Serif" w:hAnsi="PT Astra Serif"/>
          <w:sz w:val="28"/>
        </w:rPr>
        <w:fldChar w:fldCharType="begin"/>
      </w:r>
      <w:r>
        <w:rPr>
          <w:rFonts w:ascii="PT Astra Serif" w:hAnsi="PT Astra Serif"/>
          <w:sz w:val="28"/>
        </w:rPr>
        <w:instrText>HYPERLINK "https://internet.garant.ru/#/document/407994909/entry/100322"</w:instrText>
      </w:r>
      <w:r>
        <w:rPr>
          <w:rFonts w:ascii="PT Astra Serif" w:hAnsi="PT Astra Serif"/>
          <w:sz w:val="28"/>
        </w:rPr>
        <w:fldChar w:fldCharType="separate"/>
      </w:r>
      <w:r>
        <w:rPr>
          <w:rFonts w:ascii="PT Astra Serif" w:hAnsi="PT Astra Serif"/>
          <w:sz w:val="28"/>
        </w:rPr>
        <w:t>подпунктом 6 пункта 4</w:t>
      </w:r>
      <w:r>
        <w:rPr>
          <w:rFonts w:ascii="PT Astra Serif" w:hAnsi="PT Astra Serif"/>
          <w:sz w:val="28"/>
        </w:rPr>
        <w:fldChar w:fldCharType="end"/>
      </w:r>
      <w:r>
        <w:rPr>
          <w:rFonts w:ascii="PT Astra Serif" w:hAnsi="PT Astra Serif"/>
          <w:sz w:val="28"/>
        </w:rPr>
        <w:t xml:space="preserve"> настоящего Порядка (N</w:t>
      </w:r>
      <m:oMathPara>
        <m:oMath>
          <m:f>
            <m:fPr>
              <m:type m:val="bar"/>
            </m:fPr>
            <m:num>
              <m:r>
                <w:rPr>
                  <w:rFonts w:ascii="Cambria Math" w:hAnsi="Cambria Math"/>
                  <w:sz w:val="22"/>
                </w:rPr>
                <m:rPr>
                  <m:sty m:val="p"/>
                </m:rPr>
                <m:t>УН</m:t>
              </m:r>
            </m:num>
            <m:den>
              <m:r>
                <w:rPr>
                  <w:rFonts w:ascii="Cambria Math" w:hAnsi="Cambria Math"/>
                  <w:sz w:val="22"/>
                </w:rPr>
                <m:rPr>
                  <m:sty m:val="p"/>
                </m:rPr>
                <m:t>КПД</m:t>
              </m:r>
            </m:den>
          </m:f>
        </m:oMath>
      </m:oMathPara>
      <w:r>
        <w:rPr>
          <w:rFonts w:ascii="PT Astra Serif" w:hAnsi="PT Astra Serif"/>
          <w:sz w:val="28"/>
        </w:rPr>
        <w:t>), рассчитывается с применением коэффициента платной деятельности по формуле:</w:t>
      </w:r>
    </w:p>
    <w:p w14:paraId="27000000">
      <w:pPr>
        <w:pStyle w:val="Style_3"/>
        <w:widowControl w:val="1"/>
        <w:tabs>
          <w:tab w:leader="none" w:pos="708" w:val="clear"/>
          <w:tab w:leader="none" w:pos="851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</w:p>
    <w:p w14:paraId="28000000">
      <w:pPr>
        <w:pStyle w:val="Style_3"/>
        <w:widowControl w:val="1"/>
        <w:tabs>
          <w:tab w:leader="none" w:pos="708" w:val="clear"/>
          <w:tab w:leader="none" w:pos="851" w:val="left"/>
        </w:tabs>
        <w:spacing w:after="0" w:before="0" w:line="240" w:lineRule="auto"/>
        <w:ind w:firstLine="709" w:left="0" w:right="0"/>
        <w:jc w:val="center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N</w:t>
      </w:r>
      <m:oMathPara>
        <m:oMath>
          <m:f>
            <m:fPr>
              <m:type m:val="bar"/>
            </m:fPr>
            <m:num>
              <m:r>
                <w:rPr>
                  <w:rFonts w:ascii="Cambria Math" w:hAnsi="Cambria Math"/>
                  <w:sz w:val="22"/>
                </w:rPr>
                <m:rPr>
                  <m:sty m:val="p"/>
                </m:rPr>
                <m:t>УН</m:t>
              </m:r>
            </m:num>
            <m:den>
              <m:r>
                <w:rPr>
                  <w:rFonts w:ascii="Cambria Math" w:hAnsi="Cambria Math"/>
                  <w:sz w:val="22"/>
                </w:rPr>
                <m:rPr>
                  <m:sty m:val="p"/>
                </m:rPr>
                <m:t>КПД</m:t>
              </m:r>
            </m:den>
          </m:f>
        </m:oMath>
      </m:oMathPara>
      <w:r>
        <w:rPr>
          <w:rFonts w:ascii="PT Astra Serif" w:hAnsi="PT Astra Serif"/>
          <w:sz w:val="28"/>
        </w:rPr>
        <w:t>=</w:t>
      </w:r>
      <m:oMathPara>
        <m:oMath>
          <m:sSup>
            <m:e>
              <m:r>
                <w:rPr>
                  <w:rFonts w:ascii="Cambria Math" w:hAnsi="Cambria Math"/>
                  <w:sz w:val="22"/>
                </w:rPr>
                <m:t>N</m:t>
              </m:r>
            </m:e>
            <m:sup>
              <m:r>
                <w:rPr>
                  <w:rFonts w:ascii="Cambria Math" w:hAnsi="Cambria Math"/>
                  <w:sz w:val="22"/>
                </w:rPr>
                <m:rPr>
                  <m:sty m:val="p"/>
                </m:rPr>
                <m:t>УН</m:t>
              </m:r>
            </m:sup>
          </m:sSup>
          <m:r>
            <w:rPr>
              <w:rFonts w:ascii="Cambria Math" w:hAnsi="Cambria Math"/>
              <w:sz w:val="22"/>
            </w:rPr>
            <m:t>×</m:t>
          </m:r>
          <m:d>
            <m:dPr>
              <m:sepChr m:val=","/>
            </m:dPr>
            <m:e>
              <m:r>
                <w:rPr>
                  <w:rFonts w:ascii="Cambria Math" w:hAnsi="Cambria Math"/>
                  <w:sz w:val="22"/>
                </w:rPr>
                <m:t>1-</m:t>
              </m:r>
              <m:r>
                <w:rPr>
                  <w:rFonts w:ascii="Cambria Math" w:hAnsi="Cambria Math"/>
                  <w:sz w:val="22"/>
                </w:rPr>
                <m:rPr>
                  <m:sty m:val="p"/>
                </m:rPr>
                <m:t>КПД</m:t>
              </m:r>
            </m:e>
          </m:d>
        </m:oMath>
      </m:oMathPara>
    </w:p>
    <w:p w14:paraId="29000000">
      <w:pPr>
        <w:pStyle w:val="Style_3"/>
        <w:widowControl w:val="1"/>
        <w:spacing w:after="253" w:before="253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где:</w:t>
      </w:r>
    </w:p>
    <w:p w14:paraId="2A000000">
      <w:pPr>
        <w:pStyle w:val="Style_3"/>
        <w:widowControl w:val="1"/>
        <w:spacing w:after="0" w:before="0" w:line="240" w:lineRule="auto"/>
        <w:ind w:firstLine="709" w:left="0" w:right="0"/>
        <w:jc w:val="both"/>
      </w:pPr>
      <m:oMathPara>
        <m:oMath>
          <m:sSup>
            <m:e>
              <m:r>
                <w:rPr>
                  <w:rFonts w:ascii="Cambria Math" w:hAnsi="Cambria Math"/>
                  <w:sz w:val="22"/>
                </w:rPr>
                <m:t>N</m:t>
              </m:r>
            </m:e>
            <m:sup>
              <m:r>
                <w:rPr>
                  <w:rFonts w:ascii="Cambria Math" w:hAnsi="Cambria Math"/>
                  <w:sz w:val="22"/>
                </w:rPr>
                <m:rPr>
                  <m:sty m:val="p"/>
                </m:rPr>
                <m:t>УН</m:t>
              </m:r>
            </m:sup>
          </m:sSup>
        </m:oMath>
      </m:oMathPara>
      <w:r>
        <w:rPr>
          <w:rFonts w:ascii="PT Astra Serif" w:hAnsi="PT Astra Serif"/>
          <w:sz w:val="28"/>
        </w:rPr>
        <w:t xml:space="preserve">- планируемый объем выплат на уплату налогов в отношении имущества учреждения, признаваемого объектом налогообложения,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в соответствующем финансовом году с учетом сроков уплаты налогов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в соответствии с требованиями </w:t>
      </w:r>
      <w:r>
        <w:rPr>
          <w:rFonts w:ascii="PT Astra Serif" w:hAnsi="PT Astra Serif"/>
          <w:sz w:val="28"/>
        </w:rPr>
        <w:fldChar w:fldCharType="begin"/>
      </w:r>
      <w:r>
        <w:rPr>
          <w:rFonts w:ascii="PT Astra Serif" w:hAnsi="PT Astra Serif"/>
          <w:sz w:val="28"/>
        </w:rPr>
        <w:instrText>HYPERLINK "https://internet.garant.ru/#/document/10900200/entry/1"</w:instrText>
      </w:r>
      <w:r>
        <w:rPr>
          <w:rFonts w:ascii="PT Astra Serif" w:hAnsi="PT Astra Serif"/>
          <w:sz w:val="28"/>
        </w:rPr>
        <w:fldChar w:fldCharType="separate"/>
      </w:r>
      <w:r>
        <w:rPr>
          <w:rFonts w:ascii="PT Astra Serif" w:hAnsi="PT Astra Serif"/>
          <w:sz w:val="28"/>
        </w:rPr>
        <w:t>законодательства</w:t>
      </w:r>
      <w:r>
        <w:rPr>
          <w:rFonts w:ascii="PT Astra Serif" w:hAnsi="PT Astra Serif"/>
          <w:sz w:val="28"/>
        </w:rPr>
        <w:fldChar w:fldCharType="end"/>
      </w:r>
      <w:r>
        <w:rPr>
          <w:rFonts w:ascii="PT Astra Serif" w:hAnsi="PT Astra Serif"/>
          <w:sz w:val="28"/>
        </w:rPr>
        <w:t xml:space="preserve"> о налогах и сборах;</w:t>
      </w:r>
    </w:p>
    <w:p w14:paraId="2B000000">
      <w:pPr>
        <w:pStyle w:val="Style_3"/>
        <w:widowControl w:val="1"/>
        <w:spacing w:after="0" w:before="0" w:line="240" w:lineRule="auto"/>
        <w:ind w:firstLine="709" w:left="0" w:right="0"/>
        <w:jc w:val="both"/>
      </w:pPr>
      <w:r>
        <w:rPr>
          <w:rFonts w:ascii="PT Astra Serif" w:hAnsi="PT Astra Serif"/>
          <w:b w:val="0"/>
          <w:i w:val="0"/>
          <w:caps w:val="0"/>
          <w:smallCaps w:val="0"/>
          <w:color w:val="22272F"/>
          <w:spacing w:val="0"/>
          <w:sz w:val="23"/>
          <w:highlight w:val="white"/>
        </w:rPr>
        <w:t>КПД —</w:t>
      </w:r>
      <w:r>
        <w:rPr>
          <w:rFonts w:ascii="PT Astra Serif" w:hAnsi="PT Astra Serif"/>
          <w:sz w:val="28"/>
        </w:rPr>
        <w:t xml:space="preserve"> коэффициент платной деятельности, значение которого рассчитывается в соответствии с </w:t>
      </w:r>
      <w:r>
        <w:rPr>
          <w:rFonts w:ascii="PT Astra Serif" w:hAnsi="PT Astra Serif"/>
          <w:sz w:val="28"/>
        </w:rPr>
        <w:fldChar w:fldCharType="begin"/>
      </w:r>
      <w:r>
        <w:rPr>
          <w:rFonts w:ascii="PT Astra Serif" w:hAnsi="PT Astra Serif"/>
          <w:sz w:val="28"/>
        </w:rPr>
        <w:instrText>HYPERLINK "https://internet.garant.ru/#/document/407994909/entry/1282"</w:instrText>
      </w:r>
      <w:r>
        <w:rPr>
          <w:rFonts w:ascii="PT Astra Serif" w:hAnsi="PT Astra Serif"/>
          <w:sz w:val="28"/>
        </w:rPr>
        <w:fldChar w:fldCharType="separate"/>
      </w:r>
      <w:r>
        <w:rPr>
          <w:rFonts w:ascii="PT Astra Serif" w:hAnsi="PT Astra Serif"/>
          <w:sz w:val="28"/>
        </w:rPr>
        <w:t>пунктом 7.2</w:t>
      </w:r>
      <w:r>
        <w:rPr>
          <w:rFonts w:ascii="PT Astra Serif" w:hAnsi="PT Astra Serif"/>
          <w:sz w:val="28"/>
        </w:rPr>
        <w:fldChar w:fldCharType="end"/>
      </w:r>
      <w:r>
        <w:rPr>
          <w:rFonts w:ascii="PT Astra Serif" w:hAnsi="PT Astra Serif"/>
          <w:sz w:val="28"/>
        </w:rPr>
        <w:t xml:space="preserve"> настоящего Порядка;</w:t>
      </w:r>
    </w:p>
    <w:p w14:paraId="2C000000">
      <w:pPr>
        <w:pStyle w:val="Style_3"/>
        <w:widowControl w:val="1"/>
        <w:tabs>
          <w:tab w:leader="none" w:pos="708" w:val="clear"/>
          <w:tab w:leader="none" w:pos="851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7.2. Коэффициент платной деятельности (КПД) рассчитывается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по формуле:</w:t>
      </w:r>
    </w:p>
    <w:p w14:paraId="2D000000">
      <w:pPr>
        <w:pStyle w:val="Style_6"/>
        <w:widowControl w:val="1"/>
        <w:spacing w:line="240" w:lineRule="auto"/>
        <w:ind/>
        <w:jc w:val="both"/>
        <w:rPr>
          <w:rFonts w:ascii="PT Astra Serif" w:hAnsi="PT Astra Serif"/>
          <w:sz w:val="28"/>
        </w:rPr>
      </w:pPr>
    </w:p>
    <w:p w14:paraId="2E000000">
      <w:pPr>
        <w:pStyle w:val="Style_6"/>
        <w:widowControl w:val="1"/>
        <w:spacing w:line="240" w:lineRule="auto"/>
        <w:ind/>
        <w:jc w:val="center"/>
        <w:rPr>
          <w:rFonts w:ascii="PT Astra Serif" w:hAnsi="PT Astra Serif"/>
        </w:rPr>
      </w:pPr>
      <m:oMathPara>
        <m:oMath>
          <m:r>
            <w:rPr>
              <w:rFonts w:ascii="Cambria Math" w:hAnsi="Cambria Math"/>
              <w:sz w:val="22"/>
            </w:rPr>
            <m:rPr>
              <m:sty m:val="p"/>
            </m:rPr>
            <m:t>КПД</m:t>
          </m:r>
          <m:r>
            <w:rPr>
              <w:rFonts w:ascii="Cambria Math" w:hAnsi="Cambria Math"/>
              <w:sz w:val="22"/>
            </w:rPr>
            <m:t>=</m:t>
          </m:r>
          <m:f>
            <m:fPr>
              <m:type m:val="bar"/>
            </m:fPr>
            <m:num>
              <m:sSub>
                <m:e>
                  <m:r>
                    <w:rPr>
                      <w:rFonts w:ascii="Cambria Math" w:hAnsi="Cambria Math"/>
                      <w:sz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22"/>
                    </w:rPr>
                    <m:rPr>
                      <m:sty m:val="p"/>
                    </m:rPr>
                    <m:t>пд</m:t>
                  </m:r>
                </m:sub>
              </m:sSub>
            </m:num>
            <m:den>
              <m:sSub>
                <m:e>
                  <m:r>
                    <w:rPr>
                      <w:rFonts w:ascii="Cambria Math" w:hAnsi="Cambria Math"/>
                      <w:sz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22"/>
                    </w:rPr>
                    <m:rPr>
                      <m:sty m:val="p"/>
                    </m:rPr>
                    <m:t>гз</m:t>
                  </m:r>
                </m:sub>
              </m:sSub>
              <m:r>
                <w:rPr>
                  <w:rFonts w:ascii="Cambria Math" w:hAnsi="Cambria Math"/>
                  <w:sz w:val="22"/>
                </w:rPr>
                <m:t>+</m:t>
              </m:r>
              <m:sSub>
                <m:e>
                  <m:r>
                    <w:rPr>
                      <w:rFonts w:ascii="Cambria Math" w:hAnsi="Cambria Math"/>
                      <w:sz w:val="22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22"/>
                    </w:rPr>
                    <m:rPr>
                      <m:sty m:val="p"/>
                    </m:rPr>
                    <m:t>пд</m:t>
                  </m:r>
                </m:sub>
              </m:sSub>
            </m:den>
          </m:f>
        </m:oMath>
      </m:oMathPara>
    </w:p>
    <w:p w14:paraId="2F000000">
      <w:pPr>
        <w:pStyle w:val="Style_6"/>
        <w:widowControl w:val="1"/>
        <w:tabs>
          <w:tab w:leader="none" w:pos="708" w:val="clear"/>
          <w:tab w:leader="none" w:pos="851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bookmarkStart w:id="1" w:name="p_145"/>
      <w:bookmarkEnd w:id="1"/>
      <w:r>
        <w:rPr>
          <w:rFonts w:ascii="PT Astra Serif" w:hAnsi="PT Astra Serif"/>
          <w:sz w:val="28"/>
        </w:rPr>
        <w:t>где:</w:t>
      </w:r>
    </w:p>
    <w:p w14:paraId="30000000">
      <w:pPr>
        <w:pStyle w:val="Style_6"/>
        <w:widowControl w:val="1"/>
        <w:spacing w:after="0" w:before="0" w:line="240" w:lineRule="auto"/>
        <w:ind w:firstLine="709" w:left="0" w:right="0"/>
        <w:jc w:val="both"/>
      </w:pPr>
      <m:oMathPara>
        <m:oMath>
          <m:sSub>
            <m:e>
              <m:r>
                <w:rPr>
                  <w:rFonts w:ascii="Cambria Math" w:hAnsi="Cambria Math"/>
                  <w:sz w:val="22"/>
                </w:rPr>
                <m:t>V</m:t>
              </m:r>
            </m:e>
            <m:sub>
              <m:r>
                <w:rPr>
                  <w:rFonts w:ascii="Cambria Math" w:hAnsi="Cambria Math"/>
                  <w:sz w:val="22"/>
                </w:rPr>
                <m:rPr>
                  <m:sty m:val="p"/>
                </m:rPr>
                <m:t>пд</m:t>
              </m:r>
            </m:sub>
          </m:sSub>
        </m:oMath>
      </m:oMathPara>
      <w:r>
        <w:rPr>
          <w:rFonts w:ascii="PT Astra Serif" w:hAnsi="PT Astra Serif"/>
          <w:sz w:val="28"/>
        </w:rPr>
        <w:t xml:space="preserve">- планируемый объем поступлений в виде доходов от платной деятельности с учетом информации об объемах оказываемых услуг (выполняемых работ) в отчетном финансовом году, о получении (прекращении действия) лицензий, иных разрешительных документов на осуществление указанной деятельности, об изменении размера платы (тарифов, цены) за оказываемую услугу (выполняемую работу), рассчитанный за вычетом налога на добавленную стоимость в случае, если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 xml:space="preserve">в соответствии с </w:t>
      </w:r>
      <w:r>
        <w:rPr>
          <w:rFonts w:ascii="PT Astra Serif" w:hAnsi="PT Astra Serif"/>
          <w:sz w:val="28"/>
        </w:rPr>
        <w:fldChar w:fldCharType="begin"/>
      </w:r>
      <w:r>
        <w:rPr>
          <w:rFonts w:ascii="PT Astra Serif" w:hAnsi="PT Astra Serif"/>
          <w:sz w:val="28"/>
        </w:rPr>
        <w:instrText>HYPERLINK "https://internet.garant.ru/#/document/10900200/entry/1"</w:instrText>
      </w:r>
      <w:r>
        <w:rPr>
          <w:rFonts w:ascii="PT Astra Serif" w:hAnsi="PT Astra Serif"/>
          <w:sz w:val="28"/>
        </w:rPr>
        <w:fldChar w:fldCharType="separate"/>
      </w:r>
      <w:r>
        <w:rPr>
          <w:rFonts w:ascii="PT Astra Serif" w:hAnsi="PT Astra Serif"/>
          <w:sz w:val="28"/>
        </w:rPr>
        <w:t>законодательством</w:t>
      </w:r>
      <w:r>
        <w:rPr>
          <w:rFonts w:ascii="PT Astra Serif" w:hAnsi="PT Astra Serif"/>
          <w:sz w:val="28"/>
        </w:rPr>
        <w:fldChar w:fldCharType="end"/>
      </w:r>
      <w:r>
        <w:rPr>
          <w:rFonts w:ascii="PT Astra Serif" w:hAnsi="PT Astra Serif"/>
          <w:sz w:val="28"/>
        </w:rPr>
        <w:t xml:space="preserve"> Российской Федерации о налогах и сборах операции по реализации услуг (работ) признаются объектами налогообложения в соответствующем финансовом году;</w:t>
      </w:r>
    </w:p>
    <w:p w14:paraId="31000000">
      <w:pPr>
        <w:pStyle w:val="Style_6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m:oMathPara>
        <m:oMath>
          <m:sSub>
            <m:e>
              <m:r>
                <w:rPr>
                  <w:rFonts w:ascii="Cambria Math" w:hAnsi="Cambria Math"/>
                  <w:sz w:val="22"/>
                </w:rPr>
                <m:t>V</m:t>
              </m:r>
            </m:e>
            <m:sub>
              <m:r>
                <w:rPr>
                  <w:rFonts w:ascii="Cambria Math" w:hAnsi="Cambria Math"/>
                  <w:sz w:val="22"/>
                </w:rPr>
                <m:rPr>
                  <m:sty m:val="p"/>
                </m:rPr>
                <m:t>гз</m:t>
              </m:r>
            </m:sub>
          </m:sSub>
        </m:oMath>
      </m:oMathPara>
      <w:r>
        <w:rPr>
          <w:rFonts w:ascii="PT Astra Serif" w:hAnsi="PT Astra Serif"/>
          <w:sz w:val="28"/>
        </w:rPr>
        <w:t>- планируемый объем поступлений в виде субсидии на финансовое обеспечение выполнения муниципального задания.</w:t>
      </w:r>
    </w:p>
    <w:p w14:paraId="32000000">
      <w:pPr>
        <w:pStyle w:val="Style_6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bookmarkStart w:id="2" w:name="p_4003"/>
      <w:bookmarkEnd w:id="2"/>
      <w:r>
        <w:rPr>
          <w:rFonts w:ascii="PT Astra Serif" w:hAnsi="PT Astra Serif"/>
          <w:sz w:val="28"/>
        </w:rPr>
        <w:t xml:space="preserve">При расчете коэффициента платной деятельности не учитываются поступления в виде грантов, пожертвований, прочих безвозмездных поступлений от физических и юридических лиц, а также средства, поступающие в порядке возмещения расходов, понесенных в связи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с эксплуатацией имущества учреждения, признаваемого объектом налогообложения, сданного в аренду или предоставленного в безвозмездное пользование, и в виде платы, взимаемой с потребителя в рамках установленного муниципального задания.</w:t>
      </w:r>
    </w:p>
    <w:p w14:paraId="33000000">
      <w:pPr>
        <w:pStyle w:val="Style_3"/>
        <w:widowControl w:val="1"/>
        <w:spacing w:after="0" w:before="0" w:line="240" w:lineRule="auto"/>
        <w:ind w:firstLine="709" w:left="0" w:right="0"/>
        <w:jc w:val="both"/>
      </w:pPr>
      <w:r>
        <w:rPr>
          <w:rFonts w:ascii="PT Astra Serif" w:hAnsi="PT Astra Serif"/>
          <w:sz w:val="28"/>
        </w:rPr>
        <w:t xml:space="preserve">7.3. Объем субсидии, предусмотренной </w:t>
      </w:r>
      <w:r>
        <w:rPr>
          <w:rFonts w:ascii="PT Astra Serif" w:hAnsi="PT Astra Serif"/>
          <w:sz w:val="28"/>
        </w:rPr>
        <w:fldChar w:fldCharType="begin"/>
      </w:r>
      <w:r>
        <w:rPr>
          <w:rFonts w:ascii="PT Astra Serif" w:hAnsi="PT Astra Serif"/>
          <w:sz w:val="28"/>
        </w:rPr>
        <w:instrText>HYPERLINK "https://internet.garant.ru/#/document/407994909/entry/100322"</w:instrText>
      </w:r>
      <w:r>
        <w:rPr>
          <w:rFonts w:ascii="PT Astra Serif" w:hAnsi="PT Astra Serif"/>
          <w:sz w:val="28"/>
        </w:rPr>
        <w:fldChar w:fldCharType="separate"/>
      </w:r>
      <w:r>
        <w:rPr>
          <w:rFonts w:ascii="PT Astra Serif" w:hAnsi="PT Astra Serif"/>
          <w:sz w:val="28"/>
        </w:rPr>
        <w:t>подпунктом 6 пункта 4</w:t>
      </w:r>
      <w:r>
        <w:rPr>
          <w:rFonts w:ascii="PT Astra Serif" w:hAnsi="PT Astra Serif"/>
          <w:sz w:val="28"/>
        </w:rPr>
        <w:fldChar w:fldCharType="end"/>
      </w:r>
      <w:r>
        <w:rPr>
          <w:rFonts w:ascii="PT Astra Serif" w:hAnsi="PT Astra Serif"/>
          <w:sz w:val="28"/>
        </w:rPr>
        <w:t xml:space="preserve"> настоящего Порядка, может быть изменен в течение текущего финансового года в случае изменения плановых показателей, учтенных при расчете размера указанной субсидии в соответствии с </w:t>
      </w:r>
      <w:r>
        <w:rPr>
          <w:rFonts w:ascii="PT Astra Serif" w:hAnsi="PT Astra Serif"/>
          <w:sz w:val="28"/>
        </w:rPr>
        <w:fldChar w:fldCharType="begin"/>
      </w:r>
      <w:r>
        <w:rPr>
          <w:rFonts w:ascii="PT Astra Serif" w:hAnsi="PT Astra Serif"/>
          <w:sz w:val="28"/>
        </w:rPr>
        <w:instrText>HYPERLINK "https://internet.garant.ru/#/document/407994909/entry/1281"</w:instrText>
      </w:r>
      <w:r>
        <w:rPr>
          <w:rFonts w:ascii="PT Astra Serif" w:hAnsi="PT Astra Serif"/>
          <w:sz w:val="28"/>
        </w:rPr>
        <w:fldChar w:fldCharType="separate"/>
      </w:r>
      <w:r>
        <w:rPr>
          <w:rFonts w:ascii="PT Astra Serif" w:hAnsi="PT Astra Serif"/>
          <w:sz w:val="28"/>
        </w:rPr>
        <w:t>пунктом 7.1</w:t>
      </w:r>
      <w:r>
        <w:rPr>
          <w:rFonts w:ascii="PT Astra Serif" w:hAnsi="PT Astra Serif"/>
          <w:sz w:val="28"/>
        </w:rPr>
        <w:fldChar w:fldCharType="end"/>
      </w:r>
      <w:r>
        <w:rPr>
          <w:rFonts w:ascii="PT Astra Serif" w:hAnsi="PT Astra Serif"/>
          <w:sz w:val="28"/>
        </w:rPr>
        <w:t xml:space="preserve"> настоящего Порядка, в связи с изменением состава и стоимости имущества учреждения, признаваемого объектом налогообложения, изменения </w:t>
      </w:r>
      <w:r>
        <w:rPr>
          <w:rFonts w:ascii="PT Astra Serif" w:hAnsi="PT Astra Serif"/>
          <w:sz w:val="28"/>
        </w:rPr>
        <w:fldChar w:fldCharType="begin"/>
      </w:r>
      <w:r>
        <w:rPr>
          <w:rFonts w:ascii="PT Astra Serif" w:hAnsi="PT Astra Serif"/>
          <w:sz w:val="28"/>
        </w:rPr>
        <w:instrText>HYPERLINK "https://internet.garant.ru/#/document/10900200/entry/1"</w:instrText>
      </w:r>
      <w:r>
        <w:rPr>
          <w:rFonts w:ascii="PT Astra Serif" w:hAnsi="PT Astra Serif"/>
          <w:sz w:val="28"/>
        </w:rPr>
        <w:fldChar w:fldCharType="separate"/>
      </w:r>
      <w:r>
        <w:rPr>
          <w:rFonts w:ascii="PT Astra Serif" w:hAnsi="PT Astra Serif"/>
          <w:sz w:val="28"/>
        </w:rPr>
        <w:t>законодательства</w:t>
      </w:r>
      <w:r>
        <w:rPr>
          <w:rFonts w:ascii="PT Astra Serif" w:hAnsi="PT Astra Serif"/>
          <w:sz w:val="28"/>
        </w:rPr>
        <w:fldChar w:fldCharType="end"/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 налогах и сборах, в том числе в случае отмены ранее установленных налоговых льгот, введения налоговых льгот.»;</w:t>
      </w:r>
    </w:p>
    <w:p w14:paraId="34000000">
      <w:pPr>
        <w:pStyle w:val="Style_3"/>
        <w:widowControl w:val="1"/>
        <w:tabs>
          <w:tab w:leader="none" w:pos="708" w:val="clear"/>
          <w:tab w:leader="none" w:pos="851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5) пункт 8 приложения к постановлению изложить в следующей редакции:</w:t>
      </w:r>
    </w:p>
    <w:p w14:paraId="35000000">
      <w:pPr>
        <w:pStyle w:val="Style_3"/>
        <w:widowControl w:val="1"/>
        <w:spacing w:after="0" w:before="0" w:line="240" w:lineRule="auto"/>
        <w:ind w:firstLine="709" w:left="0" w:right="0"/>
        <w:jc w:val="both"/>
      </w:pPr>
      <w:r>
        <w:rPr>
          <w:rFonts w:ascii="PT Astra Serif" w:hAnsi="PT Astra Serif"/>
          <w:sz w:val="28"/>
        </w:rPr>
        <w:t>«8. Для получения субсидии на иные цели муниципальные учреждения представляют главному распорядителю Заявление на предоставление субсидии на иные цели по форме, согласно </w:t>
      </w:r>
      <w:r>
        <w:rPr>
          <w:rFonts w:ascii="PT Astra Serif" w:hAnsi="PT Astra Serif"/>
          <w:sz w:val="28"/>
        </w:rPr>
        <w:fldChar w:fldCharType="begin"/>
      </w:r>
      <w:r>
        <w:rPr>
          <w:rFonts w:ascii="PT Astra Serif" w:hAnsi="PT Astra Serif"/>
          <w:sz w:val="28"/>
        </w:rPr>
        <w:instrText>HYPERLINK "https://internet.garant.ru/#/document/406030493/entry/11"</w:instrText>
      </w:r>
      <w:r>
        <w:rPr>
          <w:rFonts w:ascii="PT Astra Serif" w:hAnsi="PT Astra Serif"/>
          <w:sz w:val="28"/>
        </w:rPr>
        <w:fldChar w:fldCharType="separate"/>
      </w:r>
      <w:r>
        <w:rPr>
          <w:rFonts w:ascii="PT Astra Serif" w:hAnsi="PT Astra Serif"/>
          <w:sz w:val="28"/>
        </w:rPr>
        <w:t xml:space="preserve">приложению </w:t>
      </w:r>
      <w:r>
        <w:rPr>
          <w:rFonts w:ascii="PT Astra Serif" w:hAnsi="PT Astra Serif"/>
          <w:sz w:val="28"/>
        </w:rPr>
        <w:fldChar w:fldCharType="end"/>
      </w:r>
      <w:r>
        <w:rPr>
          <w:rFonts w:ascii="PT Astra Serif" w:hAnsi="PT Astra Serif"/>
          <w:sz w:val="28"/>
        </w:rPr>
        <w:t xml:space="preserve">№ </w:t>
      </w:r>
      <w:r>
        <w:rPr>
          <w:rFonts w:ascii="PT Astra Serif" w:hAnsi="PT Astra Serif"/>
          <w:sz w:val="28"/>
        </w:rPr>
        <w:fldChar w:fldCharType="begin"/>
      </w:r>
      <w:r>
        <w:rPr>
          <w:rFonts w:ascii="PT Astra Serif" w:hAnsi="PT Astra Serif"/>
          <w:sz w:val="28"/>
        </w:rPr>
        <w:instrText>HYPERLINK "https://internet.garant.ru/#/document/406030493/entry/11"</w:instrText>
      </w:r>
      <w:r>
        <w:rPr>
          <w:rFonts w:ascii="PT Astra Serif" w:hAnsi="PT Astra Serif"/>
          <w:sz w:val="28"/>
        </w:rPr>
        <w:fldChar w:fldCharType="separate"/>
      </w:r>
      <w:r>
        <w:rPr>
          <w:rFonts w:ascii="PT Astra Serif" w:hAnsi="PT Astra Serif"/>
          <w:sz w:val="28"/>
        </w:rPr>
        <w:t>1</w:t>
      </w:r>
      <w:r>
        <w:rPr>
          <w:rFonts w:ascii="PT Astra Serif" w:hAnsi="PT Astra Serif"/>
          <w:sz w:val="28"/>
        </w:rPr>
        <w:fldChar w:fldCharType="end"/>
      </w:r>
      <w:r>
        <w:rPr>
          <w:rFonts w:ascii="PT Astra Serif" w:hAnsi="PT Astra Serif"/>
          <w:sz w:val="28"/>
        </w:rPr>
        <w:t xml:space="preserve"> к настоящему Порядку (далее - Заявление) с приложением следующих документов:</w:t>
      </w:r>
    </w:p>
    <w:p w14:paraId="36000000">
      <w:pPr>
        <w:pStyle w:val="Style_3"/>
        <w:widowControl w:val="1"/>
        <w:spacing w:after="0" w:before="0" w:line="240" w:lineRule="auto"/>
        <w:ind w:firstLine="709" w:left="0" w:right="0"/>
        <w:jc w:val="both"/>
      </w:pPr>
      <w:r>
        <w:rPr>
          <w:rFonts w:ascii="PT Astra Serif" w:hAnsi="PT Astra Serif"/>
          <w:sz w:val="28"/>
        </w:rPr>
        <w:t>- пояснительная записка, содержащая обоснование необходимости предоставления бюджетных средств на цели, указанные в </w:t>
      </w:r>
      <w:r>
        <w:rPr>
          <w:rFonts w:ascii="PT Astra Serif" w:hAnsi="PT Astra Serif"/>
          <w:sz w:val="28"/>
        </w:rPr>
        <w:fldChar w:fldCharType="begin"/>
      </w:r>
      <w:r>
        <w:rPr>
          <w:rFonts w:ascii="PT Astra Serif" w:hAnsi="PT Astra Serif"/>
          <w:sz w:val="28"/>
        </w:rPr>
        <w:instrText>HYPERLINK "https://internet.garant.ru/#/document/406030493/entry/1004"</w:instrText>
      </w:r>
      <w:r>
        <w:rPr>
          <w:rFonts w:ascii="PT Astra Serif" w:hAnsi="PT Astra Serif"/>
          <w:sz w:val="28"/>
        </w:rPr>
        <w:fldChar w:fldCharType="separate"/>
      </w:r>
      <w:r>
        <w:rPr>
          <w:rFonts w:ascii="PT Astra Serif" w:hAnsi="PT Astra Serif"/>
          <w:sz w:val="28"/>
        </w:rPr>
        <w:t>пункте 3</w:t>
      </w:r>
      <w:r>
        <w:rPr>
          <w:rFonts w:ascii="PT Astra Serif" w:hAnsi="PT Astra Serif"/>
          <w:sz w:val="28"/>
        </w:rPr>
        <w:fldChar w:fldCharType="end"/>
      </w:r>
      <w:r>
        <w:rPr>
          <w:rFonts w:ascii="PT Astra Serif" w:hAnsi="PT Astra Serif"/>
          <w:sz w:val="28"/>
        </w:rPr>
        <w:t xml:space="preserve"> настоящего Порядка, включая расчет-обоснование суммы субсидии, в том числе предварительную смету на выполнение соответствующих работ (оказание услуг), проведение мероприятий, приобретение имущества (за исключением недвижимого имущества), а также предложения поставщиков (подрядчиков, исполнителей), статистические данные и (или) иную информацию;</w:t>
      </w:r>
    </w:p>
    <w:p w14:paraId="37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- перечень объектов, подлежащих ремонту, акт обследования таких объектов и дефектную ведомость, предварительную смету расходов, в случае если целью предоставления субсидии на иные цели является проведение ремонта (реставрации);</w:t>
      </w:r>
    </w:p>
    <w:p w14:paraId="38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- программу мероприятий, в случае если целью предоставления субсидии на иные цели является проведение мероприятий, в том числе конференций, симпозиумов, выставок;</w:t>
      </w:r>
    </w:p>
    <w:p w14:paraId="39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- информацию о планируемом к приобретению имуществе, в случае если целью предоставления субсидии является приобретение имущества;</w:t>
      </w:r>
    </w:p>
    <w:p w14:paraId="3A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- информацию о количестве физических лиц (среднегодовом количестве), являющихся получателями выплат, и видах таких выплат,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в случае если целью предоставления субсидии является осуществление указанных выплат;</w:t>
      </w:r>
    </w:p>
    <w:p w14:paraId="3B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- сведения об имуществе учреждения, признаваемом объектом налогообложения, в случае если целью предоставления субсидии является осуществление расходов на уплату налогов; </w:t>
      </w:r>
    </w:p>
    <w:p w14:paraId="3C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- обоснование начальной (максимальной) цены контракта на закупку товаров, оказание услуг, подписанное руководителем муниципального учреждения или уполномоченным им лицом, а также коммерческие предложения поставщиков (подрядчиков, исполнителей), в случае если целью предоставления субсидии на иные цели является приобретение основных средств, материальных запасов, оказание услуг.</w:t>
      </w:r>
    </w:p>
    <w:p w14:paraId="3D000000">
      <w:pPr>
        <w:pStyle w:val="Style_3"/>
        <w:widowControl w:val="1"/>
        <w:spacing w:after="0" w:before="0" w:line="240" w:lineRule="auto"/>
        <w:ind w:firstLine="709" w:left="0" w:right="0"/>
        <w:jc w:val="both"/>
      </w:pPr>
      <w:r>
        <w:rPr>
          <w:rFonts w:ascii="PT Astra Serif" w:hAnsi="PT Astra Serif"/>
          <w:sz w:val="28"/>
        </w:rPr>
        <w:t>В расчете-обосновании по каждой субсидии на иные цели должны быть указаны наименование субсидии и следующие </w:t>
      </w:r>
      <w:r>
        <w:rPr>
          <w:rFonts w:ascii="PT Astra Serif" w:hAnsi="PT Astra Serif"/>
          <w:sz w:val="28"/>
        </w:rPr>
        <w:fldChar w:fldCharType="begin"/>
      </w:r>
      <w:r>
        <w:rPr>
          <w:rFonts w:ascii="PT Astra Serif" w:hAnsi="PT Astra Serif"/>
          <w:sz w:val="28"/>
        </w:rPr>
        <w:instrText>HYPERLINK "https://internet.garant.ru/#/document/409380526/entry/0"</w:instrText>
      </w:r>
      <w:r>
        <w:rPr>
          <w:rFonts w:ascii="PT Astra Serif" w:hAnsi="PT Astra Serif"/>
          <w:sz w:val="28"/>
        </w:rPr>
        <w:fldChar w:fldCharType="separate"/>
      </w:r>
      <w:r>
        <w:rPr>
          <w:rFonts w:ascii="PT Astra Serif" w:hAnsi="PT Astra Serif"/>
          <w:sz w:val="28"/>
        </w:rPr>
        <w:t>коды</w:t>
      </w:r>
      <w:r>
        <w:rPr>
          <w:rFonts w:ascii="PT Astra Serif" w:hAnsi="PT Astra Serif"/>
          <w:sz w:val="28"/>
        </w:rPr>
        <w:fldChar w:fldCharType="end"/>
      </w:r>
      <w:r>
        <w:rPr>
          <w:rFonts w:ascii="PT Astra Serif" w:hAnsi="PT Astra Serif"/>
          <w:sz w:val="28"/>
        </w:rPr>
        <w:t> бюджетной классификации (по расходам бюджета города на предоставление субсидии):</w:t>
      </w:r>
    </w:p>
    <w:p w14:paraId="3E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- код главы;</w:t>
      </w:r>
    </w:p>
    <w:p w14:paraId="3F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- раздел, подраздел классификации расходов;</w:t>
      </w:r>
    </w:p>
    <w:p w14:paraId="40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- целевые статьи классификации расходов;</w:t>
      </w:r>
    </w:p>
    <w:p w14:paraId="41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- вид расходов классификации расходов;</w:t>
      </w:r>
    </w:p>
    <w:p w14:paraId="42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- код субсидии.»;</w:t>
      </w:r>
    </w:p>
    <w:p w14:paraId="43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6) </w:t>
      </w:r>
      <w:r>
        <w:rPr>
          <w:rFonts w:ascii="PT Astra Serif" w:hAnsi="PT Astra Serif"/>
          <w:i w:val="0"/>
          <w:color w:val="000000"/>
          <w:sz w:val="28"/>
        </w:rPr>
        <w:t xml:space="preserve">пункт 33 </w:t>
      </w:r>
      <w:r>
        <w:rPr>
          <w:rFonts w:ascii="PT Astra Serif" w:hAnsi="PT Astra Serif"/>
          <w:i w:val="0"/>
          <w:color w:val="000000"/>
          <w:sz w:val="28"/>
        </w:rPr>
        <w:t>приложения к постановлению</w:t>
      </w:r>
      <w:r>
        <w:rPr>
          <w:rFonts w:ascii="PT Astra Serif" w:hAnsi="PT Astra Serif"/>
          <w:i w:val="0"/>
          <w:color w:val="000000"/>
          <w:sz w:val="28"/>
        </w:rPr>
        <w:t xml:space="preserve"> изложить в следующей редакции:</w:t>
      </w:r>
    </w:p>
    <w:p w14:paraId="44000000">
      <w:pPr>
        <w:pStyle w:val="Style_3"/>
        <w:widowControl w:val="1"/>
        <w:spacing w:after="0" w:before="57" w:line="240" w:lineRule="auto"/>
        <w:ind w:firstLine="709" w:left="0" w:right="0"/>
        <w:jc w:val="both"/>
      </w:pPr>
      <w:r>
        <w:rPr>
          <w:rStyle w:val="Style_4_ch"/>
          <w:rFonts w:ascii="PT Astra Serif" w:hAnsi="PT Astra Serif"/>
          <w:i w:val="0"/>
          <w:color w:val="000000"/>
          <w:sz w:val="28"/>
        </w:rPr>
        <w:t xml:space="preserve">«33. Главный распорядитель проводит мониторинг достижения значений результатов предоставления субсидии и событий, отражающих факт завершения соответствующего мероприятия по получению результата предоставления субсидии (контрольная точка), в порядке, установленном Министерством финансов Российской Федерации, за исключением субсидий, предоставляемых в порядке возмещения затрат (недополученных доходов), при условии наличия достигнутого результата предоставления субсидии </w:t>
      </w:r>
      <w:r>
        <w:rPr>
          <w:rStyle w:val="Style_4_ch"/>
          <w:rFonts w:ascii="PT Astra Serif" w:hAnsi="PT Astra Serif"/>
          <w:i w:val="0"/>
          <w:color w:val="000000"/>
          <w:sz w:val="28"/>
        </w:rPr>
        <w:br/>
      </w:r>
      <w:r>
        <w:rPr>
          <w:rStyle w:val="Style_4_ch"/>
          <w:rFonts w:ascii="PT Astra Serif" w:hAnsi="PT Astra Serif"/>
          <w:i w:val="0"/>
          <w:color w:val="000000"/>
          <w:sz w:val="28"/>
        </w:rPr>
        <w:t xml:space="preserve">и единовременного предоставления субсидии, предоставляемых в целях реализации положений нормативных правовых актов Российской Федерации, предусматривающих осуществление выплат физическим лицам, и субсидий, предоставляемых в целях осуществления расходов на уплату налогов, </w:t>
      </w:r>
      <w:r>
        <w:rPr>
          <w:rStyle w:val="Style_4_ch"/>
          <w:rFonts w:ascii="PT Astra Serif" w:hAnsi="PT Astra Serif"/>
          <w:i w:val="0"/>
          <w:color w:val="000000"/>
          <w:sz w:val="28"/>
        </w:rPr>
        <w:br/>
      </w:r>
      <w:r>
        <w:rPr>
          <w:rStyle w:val="Style_4_ch"/>
          <w:rFonts w:ascii="PT Astra Serif" w:hAnsi="PT Astra Serif"/>
          <w:i w:val="0"/>
          <w:color w:val="000000"/>
          <w:sz w:val="28"/>
        </w:rPr>
        <w:t>в качестве объекта налогообложения по которым признается недвижимое имущество, в том числе земельные участки, и особо ценное движимое имущество, закрепленное за муниципальным учреждением на праве оперативного управления или постоянного (бессрочного) пользования).»</w:t>
      </w:r>
      <w:r>
        <w:rPr>
          <w:rFonts w:ascii="PT Astra Serif" w:hAnsi="PT Astra Serif"/>
          <w:i w:val="0"/>
          <w:color w:val="000000"/>
          <w:sz w:val="28"/>
        </w:rPr>
        <w:t>.</w:t>
      </w:r>
    </w:p>
    <w:p w14:paraId="45000000">
      <w:pPr>
        <w:pStyle w:val="Style_3"/>
        <w:widowControl w:val="1"/>
        <w:tabs>
          <w:tab w:leader="none" w:pos="708" w:val="clear"/>
          <w:tab w:leader="none" w:pos="851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2. Настоящее постановление вступает в силу после его официального опубликования.</w:t>
      </w:r>
    </w:p>
    <w:p w14:paraId="46000000">
      <w:pPr>
        <w:pStyle w:val="Style_3"/>
        <w:widowControl w:val="1"/>
        <w:tabs>
          <w:tab w:leader="none" w:pos="708" w:val="clear"/>
          <w:tab w:leader="none" w:pos="1134" w:val="left"/>
          <w:tab w:leader="none" w:pos="1276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3. Службе внешних связей и молодежной политики администрации </w:t>
      </w:r>
      <w:r>
        <w:rPr>
          <w:rFonts w:ascii="PT Astra Serif" w:hAnsi="PT Astra Serif"/>
          <w:spacing w:val="-6"/>
          <w:sz w:val="28"/>
        </w:rPr>
        <w:t xml:space="preserve">города Магнитогорска (Числова Г.Д.) опубликовать настоящее постановление </w:t>
      </w:r>
      <w:r>
        <w:rPr>
          <w:rFonts w:ascii="PT Astra Serif" w:hAnsi="PT Astra Serif"/>
          <w:spacing w:val="-6"/>
          <w:sz w:val="28"/>
        </w:rPr>
        <w:br/>
      </w:r>
      <w:r>
        <w:rPr>
          <w:rFonts w:ascii="PT Astra Serif" w:hAnsi="PT Astra Serif"/>
          <w:sz w:val="28"/>
        </w:rPr>
        <w:t>в средствах массовой информации.</w:t>
      </w:r>
    </w:p>
    <w:p w14:paraId="47000000">
      <w:pPr>
        <w:pStyle w:val="Style_3"/>
        <w:widowControl w:val="1"/>
        <w:tabs>
          <w:tab w:leader="none" w:pos="708" w:val="clear"/>
          <w:tab w:leader="none" w:pos="1134" w:val="left"/>
          <w:tab w:leader="none" w:pos="1276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4. Контроль исполнения настоящего постановления возложить 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на заместителя Главы города Магнитогорска Сафонову Н.В.</w:t>
      </w:r>
    </w:p>
    <w:p w14:paraId="48000000">
      <w:pPr>
        <w:pStyle w:val="Style_3"/>
        <w:widowControl w:val="1"/>
        <w:tabs>
          <w:tab w:leader="none" w:pos="708" w:val="clear"/>
          <w:tab w:leader="none" w:pos="1134" w:val="left"/>
          <w:tab w:leader="none" w:pos="1276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</w:p>
    <w:p w14:paraId="49000000">
      <w:pPr>
        <w:pStyle w:val="Style_3"/>
        <w:widowControl w:val="1"/>
        <w:tabs>
          <w:tab w:leader="none" w:pos="708" w:val="clear"/>
          <w:tab w:leader="none" w:pos="1134" w:val="left"/>
          <w:tab w:leader="none" w:pos="1276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</w:p>
    <w:p w14:paraId="4A000000">
      <w:pPr>
        <w:pStyle w:val="Style_3"/>
        <w:widowControl w:val="1"/>
        <w:tabs>
          <w:tab w:leader="none" w:pos="708" w:val="clear"/>
          <w:tab w:leader="none" w:pos="1134" w:val="left"/>
          <w:tab w:leader="none" w:pos="1276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</w:p>
    <w:p w14:paraId="4B000000">
      <w:pPr>
        <w:pStyle w:val="Style_3"/>
        <w:widowControl w:val="1"/>
        <w:tabs>
          <w:tab w:leader="none" w:pos="708" w:val="clear"/>
          <w:tab w:leader="none" w:pos="7513" w:val="left"/>
        </w:tabs>
        <w:spacing w:after="0" w:before="0" w:line="240" w:lineRule="auto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Глава города Магнитогорска                                                         С.Н. Бердников</w:t>
      </w:r>
    </w:p>
    <w:p w14:paraId="4C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4D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4E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4F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50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51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52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53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54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55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56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57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58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59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5A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5B000000">
      <w:pPr>
        <w:pStyle w:val="Style_3"/>
        <w:widowControl w:val="1"/>
        <w:spacing w:after="0" w:before="0" w:line="240" w:lineRule="auto"/>
        <w:ind/>
        <w:rPr>
          <w:rFonts w:ascii="PT Astra Serif" w:hAnsi="PT Astra Serif"/>
        </w:rPr>
      </w:pPr>
    </w:p>
    <w:sectPr>
      <w:headerReference r:id="rId3" w:type="default"/>
      <w:headerReference r:id="rId5" w:type="first"/>
      <w:headerReference r:id="rId1" w:type="even"/>
      <w:footerReference r:id="rId4" w:type="default"/>
      <w:footerReference r:id="rId6" w:type="first"/>
      <w:footerReference r:id="rId2" w:type="even"/>
      <w:type w:val="nextPage"/>
      <w:pgSz w:h="16838" w:orient="portrait" w:w="11906"/>
      <w:pgMar w:bottom="1134" w:footer="709" w:gutter="0" w:header="709" w:left="1701" w:right="851" w:top="1134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</w:pP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2"/>
    </w:pP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2"/>
      <w:widowControl w:val="1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Вр-2429707</w:t>
    </w: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4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3_ch" w:type="character">
    <w:name w:val="Normal"/>
    <w:link w:val="Style_3"/>
    <w:rPr>
      <w:rFonts w:asciiTheme="minorAscii" w:hAnsiTheme="minorHAnsi"/>
      <w:color w:val="000000"/>
      <w:sz w:val="22"/>
    </w:rPr>
  </w:style>
  <w:style w:styleId="Style_7" w:type="paragraph">
    <w:name w:val="toc 2"/>
    <w:next w:val="Style_3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List"/>
    <w:basedOn w:val="Style_6"/>
    <w:link w:val="Style_8_ch"/>
    <w:rPr>
      <w:rFonts w:ascii="PT Astra Serif" w:hAnsi="PT Astra Serif"/>
    </w:rPr>
  </w:style>
  <w:style w:styleId="Style_8_ch" w:type="character">
    <w:name w:val="List"/>
    <w:basedOn w:val="Style_6_ch"/>
    <w:link w:val="Style_8"/>
    <w:rPr>
      <w:rFonts w:ascii="PT Astra Serif" w:hAnsi="PT Astra Serif"/>
    </w:rPr>
  </w:style>
  <w:style w:styleId="Style_9" w:type="paragraph">
    <w:name w:val="Колонтитулы"/>
    <w:basedOn w:val="Style_3"/>
    <w:link w:val="Style_9_ch"/>
  </w:style>
  <w:style w:styleId="Style_9_ch" w:type="character">
    <w:name w:val="Колонтитулы"/>
    <w:basedOn w:val="Style_3_ch"/>
    <w:link w:val="Style_9"/>
  </w:style>
  <w:style w:styleId="Style_10" w:type="paragraph">
    <w:name w:val="toc 4"/>
    <w:next w:val="Style_3"/>
    <w:link w:val="Style_10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0_ch" w:type="character">
    <w:name w:val="toc 4"/>
    <w:link w:val="Style_10"/>
    <w:rPr>
      <w:rFonts w:ascii="XO Thames" w:hAnsi="XO Thames"/>
      <w:sz w:val="28"/>
    </w:rPr>
  </w:style>
  <w:style w:styleId="Style_11" w:type="paragraph">
    <w:name w:val="Символ нумерации (user)"/>
    <w:link w:val="Style_11_ch"/>
  </w:style>
  <w:style w:styleId="Style_11_ch" w:type="character">
    <w:name w:val="Символ нумерации (user)"/>
    <w:link w:val="Style_11"/>
  </w:style>
  <w:style w:styleId="Style_12" w:type="paragraph">
    <w:name w:val="toc 6"/>
    <w:next w:val="Style_3"/>
    <w:link w:val="Style_12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2_ch" w:type="character">
    <w:name w:val="toc 6"/>
    <w:link w:val="Style_12"/>
    <w:rPr>
      <w:rFonts w:ascii="XO Thames" w:hAnsi="XO Thames"/>
      <w:sz w:val="28"/>
    </w:rPr>
  </w:style>
  <w:style w:styleId="Style_13" w:type="paragraph">
    <w:name w:val="toc 7"/>
    <w:next w:val="Style_3"/>
    <w:link w:val="Style_13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3_ch" w:type="character">
    <w:name w:val="toc 7"/>
    <w:link w:val="Style_13"/>
    <w:rPr>
      <w:rFonts w:ascii="XO Thames" w:hAnsi="XO Thames"/>
      <w:sz w:val="28"/>
    </w:rPr>
  </w:style>
  <w:style w:styleId="Style_14" w:type="paragraph">
    <w:name w:val="End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Endnote"/>
    <w:link w:val="Style_14"/>
    <w:rPr>
      <w:rFonts w:ascii="XO Thames" w:hAnsi="XO Thames"/>
      <w:sz w:val="22"/>
    </w:rPr>
  </w:style>
  <w:style w:styleId="Style_15" w:type="paragraph">
    <w:name w:val="heading 3"/>
    <w:next w:val="Style_3"/>
    <w:link w:val="Style_15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5_ch" w:type="character">
    <w:name w:val="heading 3"/>
    <w:link w:val="Style_15"/>
    <w:rPr>
      <w:rFonts w:ascii="XO Thames" w:hAnsi="XO Thames"/>
      <w:b w:val="1"/>
      <w:sz w:val="26"/>
    </w:rPr>
  </w:style>
  <w:style w:styleId="Style_5" w:type="paragraph">
    <w:name w:val="Цветовое выделение для Текст"/>
    <w:link w:val="Style_5_ch"/>
  </w:style>
  <w:style w:styleId="Style_5_ch" w:type="character">
    <w:name w:val="Цветовое выделение для Текст"/>
    <w:link w:val="Style_5"/>
  </w:style>
  <w:style w:styleId="Style_2" w:type="paragraph">
    <w:name w:val="footer"/>
    <w:basedOn w:val="Style_3"/>
    <w:link w:val="Style_2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2_ch" w:type="character">
    <w:name w:val="footer"/>
    <w:basedOn w:val="Style_3_ch"/>
    <w:link w:val="Style_2"/>
  </w:style>
  <w:style w:styleId="Style_16" w:type="paragraph">
    <w:name w:val="Нижний колонтитул Знак"/>
    <w:basedOn w:val="Style_17"/>
    <w:link w:val="Style_16_ch"/>
  </w:style>
  <w:style w:styleId="Style_16_ch" w:type="character">
    <w:name w:val="Нижний колонтитул Знак"/>
    <w:basedOn w:val="Style_17_ch"/>
    <w:link w:val="Style_16"/>
  </w:style>
  <w:style w:styleId="Style_18" w:type="paragraph">
    <w:name w:val="Указатель"/>
    <w:basedOn w:val="Style_3"/>
    <w:link w:val="Style_18_ch"/>
    <w:rPr>
      <w:rFonts w:ascii="PT Astra Serif" w:hAnsi="PT Astra Serif"/>
    </w:rPr>
  </w:style>
  <w:style w:styleId="Style_18_ch" w:type="character">
    <w:name w:val="Указатель"/>
    <w:basedOn w:val="Style_3_ch"/>
    <w:link w:val="Style_18"/>
    <w:rPr>
      <w:rFonts w:ascii="PT Astra Serif" w:hAnsi="PT Astra Serif"/>
    </w:rPr>
  </w:style>
  <w:style w:styleId="Style_19" w:type="paragraph">
    <w:name w:val="Верхний колонтитул Знак"/>
    <w:basedOn w:val="Style_17"/>
    <w:link w:val="Style_19_ch"/>
  </w:style>
  <w:style w:styleId="Style_19_ch" w:type="character">
    <w:name w:val="Верхний колонтитул Знак"/>
    <w:basedOn w:val="Style_17_ch"/>
    <w:link w:val="Style_19"/>
  </w:style>
  <w:style w:styleId="Style_20" w:type="paragraph">
    <w:name w:val="toc 3"/>
    <w:next w:val="Style_3"/>
    <w:link w:val="Style_2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0_ch" w:type="character">
    <w:name w:val="toc 3"/>
    <w:link w:val="Style_20"/>
    <w:rPr>
      <w:rFonts w:ascii="XO Thames" w:hAnsi="XO Thames"/>
      <w:sz w:val="28"/>
    </w:rPr>
  </w:style>
  <w:style w:styleId="Style_21" w:type="paragraph">
    <w:name w:val="heading 5"/>
    <w:next w:val="Style_3"/>
    <w:link w:val="Style_2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1_ch" w:type="character">
    <w:name w:val="heading 5"/>
    <w:link w:val="Style_21"/>
    <w:rPr>
      <w:rFonts w:ascii="XO Thames" w:hAnsi="XO Thames"/>
      <w:b w:val="1"/>
      <w:sz w:val="22"/>
    </w:rPr>
  </w:style>
  <w:style w:styleId="Style_22" w:type="paragraph">
    <w:name w:val="heading 1"/>
    <w:next w:val="Style_3"/>
    <w:link w:val="Style_2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2_ch" w:type="character">
    <w:name w:val="heading 1"/>
    <w:link w:val="Style_22"/>
    <w:rPr>
      <w:rFonts w:ascii="XO Thames" w:hAnsi="XO Thames"/>
      <w:b w:val="1"/>
      <w:sz w:val="32"/>
    </w:rPr>
  </w:style>
  <w:style w:styleId="Style_23" w:type="paragraph">
    <w:name w:val="Комментарий (user)"/>
    <w:basedOn w:val="Style_3"/>
    <w:link w:val="Style_23_ch"/>
    <w:pPr>
      <w:widowControl w:val="1"/>
      <w:spacing w:after="0" w:before="56" w:line="240" w:lineRule="auto"/>
      <w:ind w:firstLine="0" w:left="57" w:right="57"/>
    </w:pPr>
    <w:rPr>
      <w:color w:val="000000"/>
      <w:sz w:val="20"/>
    </w:rPr>
  </w:style>
  <w:style w:styleId="Style_23_ch" w:type="character">
    <w:name w:val="Комментарий (user)"/>
    <w:basedOn w:val="Style_3_ch"/>
    <w:link w:val="Style_23"/>
    <w:rPr>
      <w:color w:val="000000"/>
      <w:sz w:val="20"/>
    </w:rPr>
  </w:style>
  <w:style w:styleId="Style_24" w:type="paragraph">
    <w:name w:val="Hyperlink"/>
    <w:link w:val="Style_24_ch"/>
    <w:rPr>
      <w:color w:val="000080"/>
      <w:u w:val="single"/>
    </w:rPr>
  </w:style>
  <w:style w:styleId="Style_24_ch" w:type="character">
    <w:name w:val="Hyperlink"/>
    <w:link w:val="Style_24"/>
    <w:rPr>
      <w:color w:val="000080"/>
      <w:u w:val="single"/>
    </w:rPr>
  </w:style>
  <w:style w:styleId="Style_25" w:type="paragraph">
    <w:name w:val="Footnote"/>
    <w:link w:val="Style_25_ch"/>
    <w:pPr>
      <w:ind w:firstLine="851" w:left="0"/>
      <w:jc w:val="both"/>
    </w:pPr>
    <w:rPr>
      <w:rFonts w:ascii="XO Thames" w:hAnsi="XO Thames"/>
      <w:sz w:val="22"/>
    </w:rPr>
  </w:style>
  <w:style w:styleId="Style_25_ch" w:type="character">
    <w:name w:val="Footnote"/>
    <w:link w:val="Style_25"/>
    <w:rPr>
      <w:rFonts w:ascii="XO Thames" w:hAnsi="XO Thames"/>
      <w:sz w:val="22"/>
    </w:rPr>
  </w:style>
  <w:style w:styleId="Style_26" w:type="paragraph">
    <w:name w:val="toc 1"/>
    <w:next w:val="Style_3"/>
    <w:link w:val="Style_2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6_ch" w:type="character">
    <w:name w:val="toc 1"/>
    <w:link w:val="Style_26"/>
    <w:rPr>
      <w:rFonts w:ascii="XO Thames" w:hAnsi="XO Thames"/>
      <w:b w:val="1"/>
      <w:sz w:val="28"/>
    </w:rPr>
  </w:style>
  <w:style w:styleId="Style_1" w:type="paragraph">
    <w:name w:val="header"/>
    <w:basedOn w:val="Style_3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3_ch"/>
    <w:link w:val="Style_1"/>
  </w:style>
  <w:style w:styleId="Style_27" w:type="paragraph">
    <w:name w:val="Header and Footer"/>
    <w:link w:val="Style_27_ch"/>
    <w:pPr>
      <w:spacing w:line="240" w:lineRule="auto"/>
      <w:ind/>
      <w:jc w:val="both"/>
    </w:pPr>
    <w:rPr>
      <w:rFonts w:ascii="XO Thames" w:hAnsi="XO Thames"/>
      <w:sz w:val="28"/>
    </w:rPr>
  </w:style>
  <w:style w:styleId="Style_27_ch" w:type="character">
    <w:name w:val="Header and Footer"/>
    <w:link w:val="Style_27"/>
    <w:rPr>
      <w:rFonts w:ascii="XO Thames" w:hAnsi="XO Thames"/>
      <w:sz w:val="28"/>
    </w:rPr>
  </w:style>
  <w:style w:styleId="Style_28" w:type="paragraph">
    <w:name w:val="Balloon Text"/>
    <w:basedOn w:val="Style_3"/>
    <w:link w:val="Style_28_ch"/>
    <w:pPr>
      <w:widowControl w:val="1"/>
      <w:spacing w:after="0" w:before="0" w:line="240" w:lineRule="auto"/>
      <w:ind/>
    </w:pPr>
    <w:rPr>
      <w:rFonts w:ascii="Tahoma" w:hAnsi="Tahoma"/>
      <w:sz w:val="16"/>
    </w:rPr>
  </w:style>
  <w:style w:styleId="Style_28_ch" w:type="character">
    <w:name w:val="Balloon Text"/>
    <w:basedOn w:val="Style_3_ch"/>
    <w:link w:val="Style_28"/>
    <w:rPr>
      <w:rFonts w:ascii="Tahoma" w:hAnsi="Tahoma"/>
      <w:sz w:val="16"/>
    </w:rPr>
  </w:style>
  <w:style w:styleId="Style_29" w:type="paragraph">
    <w:name w:val="Колонтитулы (user)"/>
    <w:basedOn w:val="Style_3"/>
    <w:link w:val="Style_29_ch"/>
  </w:style>
  <w:style w:styleId="Style_29_ch" w:type="character">
    <w:name w:val="Колонтитулы (user)"/>
    <w:basedOn w:val="Style_3_ch"/>
    <w:link w:val="Style_29"/>
  </w:style>
  <w:style w:styleId="Style_30" w:type="paragraph">
    <w:name w:val="toc 9"/>
    <w:next w:val="Style_3"/>
    <w:link w:val="Style_3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0_ch" w:type="character">
    <w:name w:val="toc 9"/>
    <w:link w:val="Style_30"/>
    <w:rPr>
      <w:rFonts w:ascii="XO Thames" w:hAnsi="XO Thames"/>
      <w:sz w:val="28"/>
    </w:rPr>
  </w:style>
  <w:style w:styleId="Style_31" w:type="paragraph">
    <w:name w:val="Strong"/>
    <w:link w:val="Style_31_ch"/>
    <w:rPr>
      <w:b w:val="1"/>
    </w:rPr>
  </w:style>
  <w:style w:styleId="Style_31_ch" w:type="character">
    <w:name w:val="Strong"/>
    <w:link w:val="Style_31"/>
    <w:rPr>
      <w:b w:val="1"/>
    </w:rPr>
  </w:style>
  <w:style w:styleId="Style_32" w:type="paragraph">
    <w:name w:val="toc 8"/>
    <w:next w:val="Style_3"/>
    <w:link w:val="Style_3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2_ch" w:type="character">
    <w:name w:val="toc 8"/>
    <w:link w:val="Style_32"/>
    <w:rPr>
      <w:rFonts w:ascii="XO Thames" w:hAnsi="XO Thames"/>
      <w:sz w:val="28"/>
    </w:rPr>
  </w:style>
  <w:style w:styleId="Style_33" w:type="paragraph">
    <w:name w:val="toc 5"/>
    <w:next w:val="Style_3"/>
    <w:link w:val="Style_3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3_ch" w:type="character">
    <w:name w:val="toc 5"/>
    <w:link w:val="Style_33"/>
    <w:rPr>
      <w:rFonts w:ascii="XO Thames" w:hAnsi="XO Thames"/>
      <w:sz w:val="28"/>
    </w:rPr>
  </w:style>
  <w:style w:styleId="Style_34" w:type="paragraph">
    <w:name w:val="Заголовок (user)"/>
    <w:basedOn w:val="Style_3"/>
    <w:next w:val="Style_6"/>
    <w:link w:val="Style_34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34_ch" w:type="character">
    <w:name w:val="Заголовок (user)"/>
    <w:basedOn w:val="Style_3_ch"/>
    <w:link w:val="Style_34"/>
    <w:rPr>
      <w:rFonts w:ascii="PT Astra Serif" w:hAnsi="PT Astra Serif"/>
      <w:sz w:val="28"/>
    </w:rPr>
  </w:style>
  <w:style w:styleId="Style_35" w:type="paragraph">
    <w:name w:val="caption"/>
    <w:basedOn w:val="Style_3"/>
    <w:link w:val="Style_35_ch"/>
    <w:pPr>
      <w:widowControl w:val="1"/>
      <w:spacing w:after="120" w:before="120"/>
      <w:ind/>
    </w:pPr>
    <w:rPr>
      <w:rFonts w:ascii="PT Astra Serif" w:hAnsi="PT Astra Serif"/>
      <w:i w:val="1"/>
      <w:sz w:val="24"/>
    </w:rPr>
  </w:style>
  <w:style w:styleId="Style_35_ch" w:type="character">
    <w:name w:val="caption"/>
    <w:basedOn w:val="Style_3_ch"/>
    <w:link w:val="Style_35"/>
    <w:rPr>
      <w:rFonts w:ascii="PT Astra Serif" w:hAnsi="PT Astra Serif"/>
      <w:i w:val="1"/>
      <w:sz w:val="24"/>
    </w:rPr>
  </w:style>
  <w:style w:styleId="Style_6" w:type="paragraph">
    <w:name w:val="Body Text"/>
    <w:basedOn w:val="Style_3"/>
    <w:link w:val="Style_6_ch"/>
    <w:pPr>
      <w:widowControl w:val="1"/>
      <w:spacing w:after="140" w:before="0" w:line="276" w:lineRule="auto"/>
      <w:ind/>
    </w:pPr>
  </w:style>
  <w:style w:styleId="Style_6_ch" w:type="character">
    <w:name w:val="Body Text"/>
    <w:basedOn w:val="Style_3_ch"/>
    <w:link w:val="Style_6"/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36" w:type="paragraph">
    <w:name w:val="Subtitle"/>
    <w:next w:val="Style_3"/>
    <w:link w:val="Style_3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6_ch" w:type="character">
    <w:name w:val="Subtitle"/>
    <w:link w:val="Style_36"/>
    <w:rPr>
      <w:rFonts w:ascii="XO Thames" w:hAnsi="XO Thames"/>
      <w:i w:val="1"/>
      <w:sz w:val="24"/>
    </w:rPr>
  </w:style>
  <w:style w:styleId="Style_37" w:type="paragraph">
    <w:name w:val="Title"/>
    <w:next w:val="Style_3"/>
    <w:link w:val="Style_3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7_ch" w:type="character">
    <w:name w:val="Title"/>
    <w:link w:val="Style_37"/>
    <w:rPr>
      <w:rFonts w:ascii="XO Thames" w:hAnsi="XO Thames"/>
      <w:b w:val="1"/>
      <w:caps w:val="1"/>
      <w:sz w:val="40"/>
    </w:rPr>
  </w:style>
  <w:style w:styleId="Style_38" w:type="paragraph">
    <w:name w:val="heading 4"/>
    <w:next w:val="Style_3"/>
    <w:link w:val="Style_3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8_ch" w:type="character">
    <w:name w:val="heading 4"/>
    <w:link w:val="Style_38"/>
    <w:rPr>
      <w:rFonts w:ascii="XO Thames" w:hAnsi="XO Thames"/>
      <w:b w:val="1"/>
      <w:sz w:val="24"/>
    </w:rPr>
  </w:style>
  <w:style w:styleId="Style_39" w:type="paragraph">
    <w:name w:val="Заголовок"/>
    <w:basedOn w:val="Style_3"/>
    <w:next w:val="Style_6"/>
    <w:link w:val="Style_39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39_ch" w:type="character">
    <w:name w:val="Заголовок"/>
    <w:basedOn w:val="Style_3_ch"/>
    <w:link w:val="Style_39"/>
    <w:rPr>
      <w:rFonts w:ascii="PT Astra Serif" w:hAnsi="PT Astra Serif"/>
      <w:sz w:val="28"/>
    </w:rPr>
  </w:style>
  <w:style w:styleId="Style_4" w:type="paragraph">
    <w:name w:val="Emphasis"/>
    <w:link w:val="Style_4_ch"/>
    <w:rPr>
      <w:i w:val="1"/>
    </w:rPr>
  </w:style>
  <w:style w:styleId="Style_4_ch" w:type="character">
    <w:name w:val="Emphasis"/>
    <w:link w:val="Style_4"/>
    <w:rPr>
      <w:i w:val="1"/>
    </w:rPr>
  </w:style>
  <w:style w:styleId="Style_40" w:type="paragraph">
    <w:name w:val="heading 2"/>
    <w:next w:val="Style_3"/>
    <w:link w:val="Style_4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0_ch" w:type="character">
    <w:name w:val="heading 2"/>
    <w:link w:val="Style_40"/>
    <w:rPr>
      <w:rFonts w:ascii="XO Thames" w:hAnsi="XO Thames"/>
      <w:b w:val="1"/>
      <w:sz w:val="28"/>
    </w:rPr>
  </w:style>
  <w:style w:styleId="Style_41" w:type="paragraph">
    <w:name w:val="Указатель (user)"/>
    <w:basedOn w:val="Style_3"/>
    <w:link w:val="Style_41_ch"/>
    <w:rPr>
      <w:rFonts w:ascii="PT Astra Serif" w:hAnsi="PT Astra Serif"/>
    </w:rPr>
  </w:style>
  <w:style w:styleId="Style_41_ch" w:type="character">
    <w:name w:val="Указатель (user)"/>
    <w:basedOn w:val="Style_3_ch"/>
    <w:link w:val="Style_41"/>
    <w:rPr>
      <w:rFonts w:ascii="PT Astra Serif" w:hAnsi="PT Astra Serif"/>
    </w:rPr>
  </w:style>
  <w:style w:styleId="Style_42" w:type="table">
    <w:name w:val="Table Grid"/>
    <w:basedOn w:val="Style_43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43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footer6.xml" Type="http://schemas.openxmlformats.org/officeDocument/2006/relationships/footer"/>
  <Relationship Id="rId1" Target="header1.xml" Type="http://schemas.openxmlformats.org/officeDocument/2006/relationships/header"/>
  <Relationship Id="rId12" Target="theme/theme1.xml" Type="http://schemas.openxmlformats.org/officeDocument/2006/relationships/theme"/>
  <Relationship Id="rId10" Target="stylesWithEffects.xml" Type="http://schemas.microsoft.com/office/2007/relationships/stylesWithEffects"/>
  <Relationship Id="rId2" Target="footer2.xml" Type="http://schemas.openxmlformats.org/officeDocument/2006/relationships/footer"/>
  <Relationship Id="rId3" Target="header3.xml" Type="http://schemas.openxmlformats.org/officeDocument/2006/relationships/header"/>
  <Relationship Id="rId8" Target="settings.xml" Type="http://schemas.openxmlformats.org/officeDocument/2006/relationships/settings"/>
  <Relationship Id="rId4" Target="footer4.xml" Type="http://schemas.openxmlformats.org/officeDocument/2006/relationships/footer"/>
  <Relationship Id="rId11" Target="webSettings.xml" Type="http://schemas.openxmlformats.org/officeDocument/2006/relationships/webSettings"/>
  <Relationship Id="rId9" Target="styles.xml" Type="http://schemas.openxmlformats.org/officeDocument/2006/relationships/styles"/>
  <Relationship Id="rId7" Target="fontTable.xml" Type="http://schemas.openxmlformats.org/officeDocument/2006/relationships/fontTable"/>
  <Relationship Id="rId5" Target="header5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2020-09-01T05:25:00Z</dcterms:created>
  <dcterms:modified xsi:type="dcterms:W3CDTF">2026-07-30T05:30:11Z</dcterms:modified>
</cp:coreProperties>
</file>