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14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1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1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7000000">
      <w:pPr>
        <w:rPr>
          <w:spacing w:val="-4"/>
          <w:sz w:val="28"/>
        </w:rPr>
      </w:pPr>
    </w:p>
    <w:p w14:paraId="1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13.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5038</w:t>
      </w:r>
      <w:r>
        <w:rPr>
          <w:spacing w:val="-4"/>
          <w:sz w:val="28"/>
        </w:rPr>
        <w:t>-П</w:t>
      </w:r>
    </w:p>
    <w:p w14:paraId="19000000">
      <w:pPr>
        <w:pStyle w:val="Style_3"/>
        <w:widowControl w:val="0"/>
        <w:spacing w:after="0" w:before="0" w:line="240" w:lineRule="auto"/>
        <w:ind w:firstLine="0" w:left="0" w:right="425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утверждении Плана мероприятий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по оздоровлению муниципальных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финансов города Магнитогорска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до 2030 года</w:t>
      </w:r>
    </w:p>
    <w:p w14:paraId="1A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</w:p>
    <w:p w14:paraId="1B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целях обеспечения сбалансированности и устойчивости бюджета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города Магнитогорска, повышения эффективности использования средств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бюджета города, сокращения долговой нагрузки, укрепления финансовой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дисциплины и повышения прозрачности бюджетного процесса,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руководствуясь Уставом города Магнитогорска,</w:t>
      </w:r>
    </w:p>
    <w:p w14:paraId="1C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  <w:bookmarkStart w:id="1" w:name="sub_1001"/>
      <w:bookmarkStart w:id="2" w:name="sub_2"/>
    </w:p>
    <w:p w14:paraId="1E000000">
      <w:pPr>
        <w:pStyle w:val="Style_4"/>
        <w:widowControl w:val="0"/>
        <w:tabs>
          <w:tab w:leader="none" w:pos="0" w:val="left"/>
          <w:tab w:leader="none" w:pos="708" w:val="clear"/>
          <w:tab w:leader="none" w:pos="709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Утвердить План мероприятий по оздоровлению муниципальных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финансов города Магнитогорска до 2030 года (далее – План) (приложение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1).</w:t>
      </w:r>
    </w:p>
    <w:p w14:paraId="1F000000">
      <w:pPr>
        <w:pStyle w:val="Style_4"/>
        <w:widowControl w:val="0"/>
        <w:tabs>
          <w:tab w:leader="none" w:pos="0" w:val="left"/>
          <w:tab w:leader="none" w:pos="708" w:val="clear"/>
          <w:tab w:leader="none" w:pos="709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Органам администрации города Магнитогорска, ответственным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за реализацию Плана, организовать своевременное выполнение Плана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и ежегодно в срок до 15 февраля, следующего за отчетным, представлять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заместителю Главы города, курирующему сферу финансов и экономики,</w:t>
      </w:r>
      <w:r>
        <w:rPr>
          <w:rFonts w:ascii="PT Astra Serif" w:hAnsi="PT Astra Serif"/>
        </w:rPr>
        <w:br/>
      </w:r>
      <w:r>
        <w:rPr>
          <w:rFonts w:ascii="PT Astra Serif" w:hAnsi="PT Astra Serif"/>
          <w:sz w:val="28"/>
        </w:rPr>
        <w:t>информацию о реализации Плана (приложение №</w:t>
      </w:r>
      <w:r>
        <w:rPr>
          <w:rFonts w:ascii="PT Astra Serif" w:hAnsi="PT Astra Serif"/>
          <w:color w:val="000000"/>
          <w:spacing w:val="0"/>
          <w:sz w:val="28"/>
        </w:rPr>
        <w:t> </w:t>
      </w:r>
      <w:r>
        <w:rPr>
          <w:rFonts w:ascii="PT Astra Serif" w:hAnsi="PT Astra Serif"/>
          <w:sz w:val="28"/>
        </w:rPr>
        <w:t>2).</w:t>
      </w:r>
    </w:p>
    <w:p w14:paraId="20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bookmarkStart w:id="3" w:name="sub_3"/>
      <w:bookmarkEnd w:id="3"/>
      <w:bookmarkEnd w:id="2"/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>Настоящее постановление вступает в силу со дня подписания.</w:t>
      </w:r>
    </w:p>
    <w:p w14:paraId="21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pacing w:val="-6"/>
          <w:sz w:val="28"/>
        </w:rPr>
      </w:pPr>
      <w:bookmarkStart w:id="4" w:name="sub_4"/>
      <w:bookmarkEnd w:id="4"/>
      <w:r>
        <w:rPr>
          <w:rFonts w:ascii="PT Astra Serif" w:hAnsi="PT Astra Serif"/>
          <w:spacing w:val="-6"/>
          <w:sz w:val="28"/>
        </w:rPr>
        <w:t>4.</w:t>
      </w:r>
      <w:r>
        <w:rPr>
          <w:rFonts w:ascii="PT Astra Serif" w:hAnsi="PT Astra Serif"/>
          <w:color w:val="000000"/>
          <w:spacing w:val="-6"/>
          <w:sz w:val="28"/>
        </w:rPr>
        <w:t>  </w:t>
      </w:r>
      <w:r>
        <w:rPr>
          <w:rFonts w:ascii="PT Astra Serif" w:hAnsi="PT Astra Serif"/>
          <w:spacing w:val="-6"/>
          <w:sz w:val="28"/>
        </w:rPr>
        <w:t>Службе внешних связей и молодежной политики администрации</w:t>
      </w:r>
      <w:r>
        <w:rPr>
          <w:rFonts w:ascii="PT Astra Serif" w:hAnsi="PT Astra Serif"/>
          <w:spacing w:val="-6"/>
          <w:sz w:val="28"/>
        </w:rPr>
        <w:br/>
      </w:r>
      <w:r>
        <w:rPr>
          <w:rFonts w:ascii="PT Astra Serif" w:hAnsi="PT Astra Serif"/>
          <w:spacing w:val="-6"/>
          <w:sz w:val="28"/>
        </w:rPr>
        <w:t>города Магнитогорска (Числова</w:t>
      </w:r>
      <w:r>
        <w:rPr>
          <w:rFonts w:ascii="PT Astra Serif" w:hAnsi="PT Astra Serif"/>
          <w:color w:val="000000"/>
          <w:spacing w:val="-6"/>
          <w:sz w:val="28"/>
        </w:rPr>
        <w:t> </w:t>
      </w:r>
      <w:r>
        <w:rPr>
          <w:rFonts w:ascii="PT Astra Serif" w:hAnsi="PT Astra Serif"/>
          <w:spacing w:val="-6"/>
          <w:sz w:val="28"/>
        </w:rPr>
        <w:t>Г.Д.) разместить настоящее постановление</w:t>
      </w:r>
      <w:r>
        <w:rPr>
          <w:rFonts w:ascii="PT Astra Serif" w:hAnsi="PT Astra Serif"/>
          <w:spacing w:val="-6"/>
          <w:sz w:val="28"/>
        </w:rPr>
        <w:br/>
      </w:r>
      <w:r>
        <w:rPr>
          <w:rFonts w:ascii="PT Astra Serif" w:hAnsi="PT Astra Serif"/>
          <w:spacing w:val="-6"/>
          <w:sz w:val="28"/>
        </w:rPr>
        <w:t>на официальном сайте администрации города Магнитогорска.</w:t>
      </w:r>
    </w:p>
    <w:p w14:paraId="22000000">
      <w:pPr>
        <w:pStyle w:val="Style_3"/>
        <w:widowControl w:val="0"/>
        <w:tabs>
          <w:tab w:leader="none" w:pos="708" w:val="clear"/>
          <w:tab w:leader="none" w:pos="993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bookmarkStart w:id="5" w:name="sub_1003"/>
      <w:bookmarkEnd w:id="1"/>
      <w:r>
        <w:rPr>
          <w:rFonts w:ascii="PT Astra Serif" w:hAnsi="PT Astra Serif"/>
          <w:sz w:val="28"/>
        </w:rPr>
        <w:t>5.</w:t>
      </w:r>
      <w:r>
        <w:rPr>
          <w:rFonts w:ascii="PT Astra Serif" w:hAnsi="PT Astra Serif"/>
          <w:color w:val="000000"/>
          <w:spacing w:val="0"/>
          <w:sz w:val="28"/>
        </w:rPr>
        <w:t>  </w:t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Макарову А.Н.</w:t>
      </w:r>
      <w:bookmarkEnd w:id="5"/>
    </w:p>
    <w:p w14:paraId="23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</w:p>
    <w:p w14:paraId="24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</w:p>
    <w:p w14:paraId="25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</w:p>
    <w:p w14:paraId="26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С.Н. Бердников</w:t>
      </w:r>
      <w:bookmarkStart w:id="6" w:name="sub_1000"/>
      <w:bookmarkEnd w:id="6"/>
    </w:p>
    <w:p w14:paraId="27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4"/>
        </w:rPr>
      </w:pPr>
    </w:p>
    <w:p w14:paraId="28000000">
      <w:pPr>
        <w:pStyle w:val="Style_3"/>
        <w:widowControl w:val="0"/>
        <w:spacing w:after="0" w:before="0" w:line="240" w:lineRule="auto"/>
        <w:ind/>
        <w:rPr>
          <w:rFonts w:ascii="PT Astra Serif" w:hAnsi="PT Astra Serif"/>
          <w:sz w:val="24"/>
        </w:rPr>
      </w:pPr>
    </w:p>
    <w:p w14:paraId="29000000">
      <w:pPr>
        <w:sectPr>
          <w:headerReference r:id="rId5" w:type="default"/>
          <w:footerReference r:id="rId6" w:type="default"/>
          <w:type w:val="nextPage"/>
          <w:pgSz w:h="16838" w:orient="portrait" w:w="11906"/>
          <w:pgMar w:bottom="1134" w:footer="709" w:gutter="0" w:header="709" w:left="1701" w:right="851" w:top="1134"/>
          <w:pgNumType w:fmt="decimal"/>
        </w:sectPr>
      </w:pPr>
    </w:p>
    <w:p w14:paraId="2A000000">
      <w:pPr>
        <w:pStyle w:val="Style_5"/>
        <w:rPr>
          <w:rFonts w:ascii="PT Astra Serif" w:hAnsi="PT Astra Serif"/>
          <w:sz w:val="2"/>
        </w:rPr>
      </w:pPr>
    </w:p>
    <w:tbl>
      <w:tblPr>
        <w:tblStyle w:val="Style_6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7"/>
        <w:gridCol w:w="2226"/>
        <w:gridCol w:w="1916"/>
        <w:gridCol w:w="1868"/>
        <w:gridCol w:w="1145"/>
        <w:gridCol w:w="1284"/>
        <w:gridCol w:w="1404"/>
        <w:gridCol w:w="1153"/>
        <w:gridCol w:w="1536"/>
        <w:gridCol w:w="1399"/>
      </w:tblGrid>
      <w:tr>
        <w:trPr>
          <w:trHeight w:hRule="atLeast" w:val="375"/>
        </w:trPr>
        <w:tc>
          <w:tcPr>
            <w:tcW w:type="dxa" w:w="63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</w:rPr>
            </w:pPr>
          </w:p>
        </w:tc>
        <w:tc>
          <w:tcPr>
            <w:tcW w:type="dxa" w:w="222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91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86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1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28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40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4088"/>
            <w:gridSpan w:val="3"/>
            <w:vMerge w:val="restart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22"/>
              </w:rPr>
              <w:t>Приложение № 1</w:t>
            </w:r>
          </w:p>
          <w:p w14:paraId="3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22"/>
              </w:rPr>
              <w:t>к постановлению администрации</w:t>
            </w:r>
          </w:p>
          <w:p w14:paraId="3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22"/>
              </w:rPr>
              <w:t>города Магнитогорска</w:t>
            </w:r>
          </w:p>
          <w:p w14:paraId="3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22"/>
              </w:rPr>
              <w:t>от 13.07.2026 № 5038-П</w:t>
            </w:r>
          </w:p>
          <w:p w14:paraId="3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</w:rPr>
            </w:pPr>
          </w:p>
        </w:tc>
      </w:tr>
      <w:tr>
        <w:trPr>
          <w:trHeight w:hRule="atLeast" w:val="465"/>
        </w:trPr>
        <w:tc>
          <w:tcPr>
            <w:tcW w:type="dxa" w:w="63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222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91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86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1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28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40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4088"/>
            <w:gridSpan w:val="3"/>
            <w:vMerge w:val="continue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375"/>
        </w:trPr>
        <w:tc>
          <w:tcPr>
            <w:tcW w:type="dxa" w:w="63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222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91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86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14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28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140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</w:rPr>
            </w:pPr>
          </w:p>
        </w:tc>
        <w:tc>
          <w:tcPr>
            <w:tcW w:type="dxa" w:w="4088"/>
            <w:gridSpan w:val="3"/>
            <w:vMerge w:val="continue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645"/>
        </w:trPr>
        <w:tc>
          <w:tcPr>
            <w:tcW w:type="dxa" w:w="14568"/>
            <w:gridSpan w:val="10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План мероприятий по оздоровлению муниципальных финансов города Магнитогорска до 2030 года</w:t>
            </w:r>
          </w:p>
        </w:tc>
      </w:tr>
      <w:tr>
        <w:trPr>
          <w:trHeight w:hRule="atLeast" w:val="1500"/>
        </w:trPr>
        <w:tc>
          <w:tcPr>
            <w:tcW w:type="dxa" w:w="6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№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п/п</w:t>
            </w:r>
          </w:p>
        </w:tc>
        <w:tc>
          <w:tcPr>
            <w:tcW w:type="dxa" w:w="222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Наименование мероприятия</w:t>
            </w:r>
          </w:p>
        </w:tc>
        <w:tc>
          <w:tcPr>
            <w:tcW w:type="dxa" w:w="19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Органы администрации города, ответственные за реализацию</w:t>
            </w:r>
          </w:p>
        </w:tc>
        <w:tc>
          <w:tcPr>
            <w:tcW w:type="dxa" w:w="186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Целевой показатель</w:t>
            </w:r>
          </w:p>
        </w:tc>
        <w:tc>
          <w:tcPr>
            <w:tcW w:type="dxa" w:w="114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Единицы измерения</w:t>
            </w:r>
          </w:p>
        </w:tc>
        <w:tc>
          <w:tcPr>
            <w:tcW w:type="dxa" w:w="6776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Бюджетный эффект, значение целевого показателя</w:t>
            </w:r>
          </w:p>
        </w:tc>
      </w:tr>
      <w:tr>
        <w:trPr>
          <w:trHeight w:hRule="atLeast" w:val="705"/>
        </w:trPr>
        <w:tc>
          <w:tcPr>
            <w:tcW w:type="dxa" w:w="6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22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4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2026 год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2027 год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2028 год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2029 год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2030 год</w:t>
            </w:r>
          </w:p>
        </w:tc>
      </w:tr>
      <w:tr>
        <w:trPr>
          <w:trHeight w:hRule="atLeast" w:val="70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7155"/>
            <w:gridSpan w:val="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Бюджетный эффект, итого, тыс. руб.: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1 018 537,16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283 847,26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282 038,32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280 054,29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286 660,90</w:t>
            </w:r>
          </w:p>
        </w:tc>
      </w:tr>
      <w:tr>
        <w:trPr>
          <w:trHeight w:hRule="atLeast" w:val="88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</w:t>
            </w:r>
          </w:p>
        </w:tc>
        <w:tc>
          <w:tcPr>
            <w:tcW w:type="dxa" w:w="13931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Мероприятия, направленные на увеличение доходов бюджета, в рамках работы по снижению резервов налоговых и неналоговых доходов местных бюджетов</w:t>
            </w:r>
          </w:p>
        </w:tc>
      </w:tr>
      <w:tr>
        <w:trPr>
          <w:trHeight w:hRule="atLeast" w:val="49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1.1.</w:t>
            </w:r>
          </w:p>
        </w:tc>
        <w:tc>
          <w:tcPr>
            <w:tcW w:type="dxa" w:w="13931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Мероприятия по развитию налогооблагаемой базы</w:t>
            </w:r>
          </w:p>
        </w:tc>
      </w:tr>
      <w:tr>
        <w:trPr>
          <w:trHeight w:hRule="atLeast" w:val="562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1.1.1.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Проведение оценки эффективности налоговых расходов кураторами налоговых расходов и пересмотр ставок или отмена льгот по налогам, не имеющим стимулирующего влияния на плательщиков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Органы администрации города, кураторы налоговых расходов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Отношение количества налоговых расходов, по которым проведена оценка эффективности, к общему количеству налоговых расходов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проценты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</w:tr>
      <w:tr>
        <w:trPr>
          <w:trHeight w:hRule="atLeast" w:val="280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1.1.2.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Предоставление земельных участков, находящихся в государственной или муниципальной собственности, путем проведения торгов в собственность или аренду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Комитет по управлению имуществом и земельными отношениями, Управление архитектуры и градостроительства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Дополнительные поступления доходов в бюджет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8 405,92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2 342,00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2 342,00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2 342,00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2 342,00</w:t>
            </w:r>
          </w:p>
        </w:tc>
      </w:tr>
      <w:tr>
        <w:trPr>
          <w:trHeight w:hRule="atLeast" w:val="181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1.1.3.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Увеличение доходов от арендной платы за земельные участки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Комитет по управлению имуществом и земельными отношениями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Дополнительные поступления доходов в бюджет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     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500,00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500,00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500,00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500,00</w:t>
            </w:r>
          </w:p>
        </w:tc>
      </w:tr>
      <w:tr>
        <w:trPr>
          <w:trHeight w:hRule="atLeast" w:val="168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1.1.4.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Увеличение  доходов за установку и эксплуатацию рекламных конструкций, а также за предоставление права на размещение нестандартных торговых объектов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Комитет по управлению имуществом и земельными отношениями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Дополнительные поступления доходов в бюджет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5 770,58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6 142,13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7 980,76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7 804,54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8 209,67</w:t>
            </w:r>
          </w:p>
        </w:tc>
      </w:tr>
      <w:tr>
        <w:trPr>
          <w:trHeight w:hRule="atLeast" w:val="42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1.1.5.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Увеличение доходов платы за наём жилых помещений, находящихся в муниципальной собственности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Комитет по управлению имуществом и земельными отношениями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Дополнительные поступления доходов в бюджет 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6 692,93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12 097,24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12 097,24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12 097,24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12 097,24</w:t>
            </w:r>
          </w:p>
        </w:tc>
      </w:tr>
      <w:tr>
        <w:trPr>
          <w:trHeight w:hRule="atLeast" w:val="37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1.2.</w:t>
            </w:r>
          </w:p>
        </w:tc>
        <w:tc>
          <w:tcPr>
            <w:tcW w:type="dxa" w:w="13931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Мероприятия по улучшению администрирования доходов</w:t>
            </w:r>
          </w:p>
          <w:p w14:paraId="9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 </w:t>
            </w:r>
          </w:p>
        </w:tc>
      </w:tr>
      <w:tr>
        <w:trPr>
          <w:trHeight w:hRule="atLeast" w:val="261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1.2.1.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Вовлечение в налоговый оборот ранее не зарегистрированных объектов недвижимости, а также земельных участков, используемых без правоустанавливающих документов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Комитет по управлению имуществом и земельными отношениями, Управление архитектуры и градостроительства, районные администрации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Дополнительные поступления доходов в бюджет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7 556,91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3 000,00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3 000,00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3 000,00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3 000,00</w:t>
            </w:r>
          </w:p>
        </w:tc>
      </w:tr>
      <w:tr>
        <w:trPr>
          <w:trHeight w:hRule="atLeast" w:val="3397"/>
        </w:trPr>
        <w:tc>
          <w:tcPr>
            <w:tcW w:type="dxa" w:w="6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1.2.2.</w:t>
            </w:r>
          </w:p>
        </w:tc>
        <w:tc>
          <w:tcPr>
            <w:tcW w:type="dxa" w:w="222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Принятие мер по легализации теневой  занятости и налогообложению выплачиваемых доходов</w:t>
            </w:r>
          </w:p>
        </w:tc>
        <w:tc>
          <w:tcPr>
            <w:tcW w:type="dxa" w:w="19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Управление экономики и инвестиций,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Межрайонная ИФНС № 17 по Челябинской области (по согласованию)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Дополнительные поступления доходов в бюджет города  по результатам деятельности рабочей группы Магнитогорского городского округа межведомственной комиссии Челябинской области по противодействию нелегальной занятости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2 000,00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2 000,00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2 000,00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2 000,00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2 000,00</w:t>
            </w:r>
          </w:p>
        </w:tc>
      </w:tr>
      <w:tr>
        <w:trPr>
          <w:trHeight w:hRule="atLeast" w:val="1200"/>
        </w:trPr>
        <w:tc>
          <w:tcPr>
            <w:tcW w:type="dxa" w:w="6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22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Количество проведенных заседаний рабочей группы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единиц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не менее 12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не менее 12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не менее 12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не менее 12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не менее 12</w:t>
            </w:r>
          </w:p>
        </w:tc>
      </w:tr>
      <w:tr>
        <w:trPr>
          <w:trHeight w:hRule="atLeast" w:val="561"/>
        </w:trPr>
        <w:tc>
          <w:tcPr>
            <w:tcW w:type="dxa" w:w="6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1.2.3.</w:t>
            </w:r>
          </w:p>
        </w:tc>
        <w:tc>
          <w:tcPr>
            <w:tcW w:type="dxa" w:w="222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Принятия мер по сокращению задолженности по налогам, поступающим в бюджет города Магнитогорска  с учетом анализа причин снижения поступлений налогов в бюджет</w:t>
            </w:r>
          </w:p>
        </w:tc>
        <w:tc>
          <w:tcPr>
            <w:tcW w:type="dxa" w:w="191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Управление экономики и инвестиций, Межрайонная ИФНС № 17 по Челябинской области (по согласованию)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Дополнительные поступления доходов в бюджет города по результатам деятельности  межведомственной рабочей группы по взаимодействию территориальных подразделений федеральных органов исполнительной власти и органов местного самоуправления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100 000,00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100 000,00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100 000,00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100 000,00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100 000,00</w:t>
            </w:r>
          </w:p>
        </w:tc>
      </w:tr>
      <w:tr>
        <w:trPr>
          <w:trHeight w:hRule="atLeast" w:val="1080"/>
        </w:trPr>
        <w:tc>
          <w:tcPr>
            <w:tcW w:type="dxa" w:w="6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22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1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Количество проведенных заседаний рабочей группы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единиц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не менее 12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не менее 12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не менее 12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не менее 12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не менее 12</w:t>
            </w:r>
          </w:p>
        </w:tc>
      </w:tr>
      <w:tr>
        <w:trPr>
          <w:trHeight w:hRule="atLeast" w:val="162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1.2.4.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Повышение эффективности использования муниципального имущества, находящегося в государственной собственности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Комитет по управлению имуществом и земельными отношениями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Дополнительные поступления доходов в бюджет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2 044,09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1 600,00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1 100,00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1 100,00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1 100,00</w:t>
            </w:r>
          </w:p>
        </w:tc>
      </w:tr>
      <w:tr>
        <w:trPr>
          <w:trHeight w:hRule="atLeast" w:val="276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1.3.</w:t>
            </w:r>
          </w:p>
        </w:tc>
        <w:tc>
          <w:tcPr>
            <w:tcW w:type="dxa" w:w="13931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Мероприятия по управлению неналоговыми доходами</w:t>
            </w:r>
          </w:p>
          <w:p w14:paraId="C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 </w:t>
            </w:r>
          </w:p>
        </w:tc>
      </w:tr>
      <w:tr>
        <w:trPr>
          <w:trHeight w:hRule="atLeast" w:val="1142"/>
        </w:trPr>
        <w:tc>
          <w:tcPr>
            <w:tcW w:type="dxa" w:w="63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1.3.1.</w:t>
            </w:r>
          </w:p>
        </w:tc>
        <w:tc>
          <w:tcPr>
            <w:tcW w:type="dxa" w:w="222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Увеличение объема платных услуг, оказываемых казенными учреждениями Магнитогорского городского округа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Управление архитектуры и градостроительства, Администрация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Дополнительные поступления доходов в бюджет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17,63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70,50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70,50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70,50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70,50</w:t>
            </w:r>
          </w:p>
        </w:tc>
      </w:tr>
      <w:tr>
        <w:trPr>
          <w:trHeight w:hRule="atLeast" w:val="70"/>
        </w:trPr>
        <w:tc>
          <w:tcPr>
            <w:tcW w:type="dxa" w:w="63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22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Администрация города (МКУ "Городской архив")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Дополнительные поступления доходов в бюджет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70,94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105,52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111,04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116,56</w:t>
            </w:r>
          </w:p>
        </w:tc>
      </w:tr>
      <w:tr>
        <w:trPr>
          <w:trHeight w:hRule="atLeast" w:val="6881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1.3.2.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Принятие мер по взысканию просроченной дебиторской задолженности по неналоговым доходам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Главные администраторы доходов, правовое управление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Отношение количества исполненных мероприятий  к общему количеству мероприятий, в рамках исполнения  Плана мероприятий по взысканию дебиторской задолженности по платежам в бюджет города Магнитогорска, пеням и штрафам по ним, утвержденного постановлением администрации города Магнитогорска Челябинской области от 23 марта 2026 г. № 1964-П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проценты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100,00</w:t>
            </w:r>
          </w:p>
        </w:tc>
      </w:tr>
      <w:tr>
        <w:trPr>
          <w:trHeight w:hRule="atLeast" w:val="190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1.3.3.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Повышение доходов от участия в уставном капитале хозяйственных обществ и части прибыли унитарных предприятий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Комитет по управлению имуществом и земельными отношениями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Прирост доходов от перечисления в бюджет города части прибыли МУП, дивидендов АО, прибыли ООО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126 914,86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2 000,00   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2 000,00  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2 000,00  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2 000,00   </w:t>
            </w:r>
          </w:p>
        </w:tc>
      </w:tr>
      <w:tr>
        <w:trPr>
          <w:trHeight w:hRule="atLeast" w:val="7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601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Бюджетный эффект от мероприятий по увеличению доходов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259 473,86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129 851,87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131 196,02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131 025,32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131 435,97</w:t>
            </w:r>
          </w:p>
        </w:tc>
      </w:tr>
      <w:tr>
        <w:trPr>
          <w:trHeight w:hRule="atLeast" w:val="58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</w:t>
            </w:r>
          </w:p>
        </w:tc>
        <w:tc>
          <w:tcPr>
            <w:tcW w:type="dxa" w:w="13931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Мероприятия по оптимизации расходов бюджета</w:t>
            </w:r>
          </w:p>
        </w:tc>
      </w:tr>
      <w:tr>
        <w:trPr>
          <w:trHeight w:hRule="atLeast" w:val="51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2.1.</w:t>
            </w:r>
          </w:p>
        </w:tc>
        <w:tc>
          <w:tcPr>
            <w:tcW w:type="dxa" w:w="13931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Оптимизация расходов на муниципальное управление</w:t>
            </w:r>
          </w:p>
        </w:tc>
      </w:tr>
      <w:tr>
        <w:trPr>
          <w:trHeight w:hRule="atLeast" w:val="238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2.1.1.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both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Соблюдение установленного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норматива формирования расходов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на содержание органов местного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самоуправления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Органы местного самоуправления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Соблюдение установленного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норматива формирования расходов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на содержание органов местного самоуправления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да/нет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</w:tr>
      <w:tr>
        <w:trPr>
          <w:trHeight w:hRule="atLeast" w:val="55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2.2.</w:t>
            </w:r>
          </w:p>
        </w:tc>
        <w:tc>
          <w:tcPr>
            <w:tcW w:type="dxa" w:w="13931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Повышение эффективности муниципальных закупок</w:t>
            </w:r>
          </w:p>
        </w:tc>
      </w:tr>
      <w:tr>
        <w:trPr>
          <w:trHeight w:hRule="atLeast" w:val="357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2.2.1.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Сокращение расходов местного бюджета по результатам проведения конкурсов, аукционов при осуществлении закупок товаров, работ и услуг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Главные распорядители средств бюджета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Экономия средств местного бюджета, в том числе полученная при осуществлении закупок товаров, работ и услуг, учитываемая на дополнительном функциональном коде в соответствии с постановлением администрации города Магнитогорска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153 978,56  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125 883,76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125 877,95  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130 866,04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136 335,49</w:t>
            </w:r>
          </w:p>
        </w:tc>
      </w:tr>
      <w:tr>
        <w:trPr>
          <w:trHeight w:hRule="atLeast" w:val="63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2.3.</w:t>
            </w:r>
          </w:p>
        </w:tc>
        <w:tc>
          <w:tcPr>
            <w:tcW w:type="dxa" w:w="13931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Оптимизация расходов на содержание бюджетной сети</w:t>
            </w:r>
          </w:p>
        </w:tc>
      </w:tr>
      <w:tr>
        <w:trPr>
          <w:trHeight w:hRule="atLeast" w:val="268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2.3.1.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Мониторинг выполнения муниципальных заданий муниципальными учреждениями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Главные распорядители средств бюджета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Удельный вес муниципальных учреждений, выполнивших муниципальное задание на 100 процентов в общем количестве муниципальных учреждений, которым установлены муниципальные задания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проценты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не менее 90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не менее 90 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не менее 90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не менее 90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не менее 90 </w:t>
            </w:r>
          </w:p>
        </w:tc>
      </w:tr>
      <w:tr>
        <w:trPr>
          <w:trHeight w:hRule="atLeast" w:val="189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2.3.2.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Проведение мониторинга достижения результатов предоставления субсидий на иные цели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Главные распорядители средств бюджета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Оценка достижения значений результата предоставления субсидии на иные цели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да/нет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</w:tr>
      <w:tr>
        <w:trPr>
          <w:trHeight w:hRule="atLeast" w:val="1412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2.3.3.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Увеличение объема расходов, финансово обеспеченных за счет средств, поступивших от осуществления приносящей доход деятельности бюджетными и автономными учреждениями, с целью их направления на повышение качества оказываемых муниципальных услуг (выполняемых работ) и развитие учреждений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Главные распорядители средств бюджета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Сокращение расходов бюджета муниципального образования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22 768,72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20 611,63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17 464,35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18 162,93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18 889,44</w:t>
            </w:r>
          </w:p>
        </w:tc>
      </w:tr>
      <w:tr>
        <w:trPr>
          <w:trHeight w:hRule="atLeast" w:val="64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2.4.</w:t>
            </w:r>
          </w:p>
        </w:tc>
        <w:tc>
          <w:tcPr>
            <w:tcW w:type="dxa" w:w="13931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Иные мероприятия</w:t>
            </w:r>
          </w:p>
        </w:tc>
      </w:tr>
      <w:tr>
        <w:trPr>
          <w:trHeight w:hRule="atLeast" w:val="394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2.4.1.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Оптимизация расходов местного бюджета путём исключения невостребованных закупок товаров, работ и услуг, отмены отдельных мероприятий 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Главные распорядители средств бюджета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Экономия средств местного бюджета, в результате уменьшения (прекращения) потребности в товарах, работах и услугах, отказа от мероприятий, учитываемая на дополнительном функциональном коде в соответствии с постановлением администрации города Магнитогорска 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141 459,92  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</w:t>
            </w:r>
          </w:p>
          <w:p w14:paraId="3B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         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          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</w:tr>
      <w:tr>
        <w:trPr>
          <w:trHeight w:hRule="atLeast" w:val="348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2.4.2.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Высвобождение средств в ходе исполнения местного бюджета в текущем финансовом году по результатам анализа их востребованности для достижения целей деятельности с последующим перенаправлением на финансовое обеспечение других задач (мероприятий)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Главные распорядители средств бюджета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Объём высвобождённых бюджетных средств по результатам анализа востребованности, учитываемый на дополнительном функциональном коде в соответствии с постановлением администрации города Магнитогорска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386 856,10  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     </w:t>
            </w:r>
          </w:p>
          <w:p w14:paraId="46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         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          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</w:tr>
      <w:tr>
        <w:trPr>
          <w:trHeight w:hRule="atLeast" w:val="234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2.4.3.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Повышение открытости и доступности информации о бюджете города и бюджетном процессе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Управление финансов администрации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Формирование и публикация информации на официальном сайте администрации города во вкладке "Бюджет для граждан"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да/нет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</w:tr>
      <w:tr>
        <w:trPr>
          <w:trHeight w:hRule="atLeast" w:val="210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2.4.4.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Проведение оценки эффективности реализации муниципальных программ 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Управление экономики и инвестиций администрации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Формирование сводного годового доклада о ходе реализации и об оценке эффективности муниципальных программ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да/нет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</w:tr>
      <w:tr>
        <w:trPr>
          <w:trHeight w:hRule="atLeast" w:val="294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2.4.5.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Проведение мониторинга достижения результатов предоставления субсидий, в том числе грантов в форме субсидий, в соответствии с пунктом 2 и пунктом 7 статьи 78 Бюджетного кодекса Российской Федерации и пунктом 2 и пунктом 4 статьи 78.1 Бюджетного кодекса Российской Федерации 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Главные распорядители средств бюджета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Оценка достижения получателем субсидии, в том числе грантов в форме субсидий, значений результата предоставления субсидии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да/нет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да </w:t>
            </w:r>
          </w:p>
        </w:tc>
      </w:tr>
      <w:tr>
        <w:trPr>
          <w:trHeight w:hRule="atLeast" w:val="75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601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Бюджетный эффект от мероприятий по оптимизации расходов бюджета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705 063,30  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146 495,39   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143 342,30   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149 028,97  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155 224,93   </w:t>
            </w:r>
          </w:p>
        </w:tc>
      </w:tr>
      <w:tr>
        <w:trPr>
          <w:trHeight w:hRule="atLeast" w:val="915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3.</w:t>
            </w:r>
          </w:p>
        </w:tc>
        <w:tc>
          <w:tcPr>
            <w:tcW w:type="dxa" w:w="13931"/>
            <w:gridSpan w:val="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Мероприятия по оптимизации структуры и уровня муниципального  долга  </w:t>
            </w:r>
          </w:p>
        </w:tc>
      </w:tr>
      <w:tr>
        <w:trPr>
          <w:trHeight w:hRule="atLeast" w:val="213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3.1.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both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Рефинансирование действующих кредитных линий (привлечение новых кредитных линий по более низким процентным ставкам в случае снижения ключевой ставки Банка России).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Управление финансов администрации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Сокращение расходов бюджета муниципального образования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7 500,00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7 500,00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7 500,00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         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                     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-     </w:t>
            </w:r>
          </w:p>
        </w:tc>
      </w:tr>
      <w:tr>
        <w:trPr>
          <w:trHeight w:hRule="atLeast" w:val="213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3.2.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both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Снижение долговой нагрузки на местный бюджет за счёт непривлечения средств по возобновляемой кредитной линии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Управление финансов администрации города Магнитогорска 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Объём невыбранных лимитов по возобновляемой кредитной линии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 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300 000,00  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-</w:t>
            </w:r>
          </w:p>
        </w:tc>
      </w:tr>
      <w:tr>
        <w:trPr>
          <w:trHeight w:hRule="atLeast" w:val="213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3.3.</w:t>
            </w:r>
          </w:p>
        </w:tc>
        <w:tc>
          <w:tcPr>
            <w:tcW w:type="dxa" w:w="222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Снижение расходов местного бюджета на обслуживание муниципального долга в связи с непривлечением средств по возобновляемой кредитной линии</w:t>
            </w:r>
          </w:p>
        </w:tc>
        <w:tc>
          <w:tcPr>
            <w:tcW w:type="dxa" w:w="19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Управление финансов администрации города</w:t>
            </w:r>
          </w:p>
        </w:tc>
        <w:tc>
          <w:tcPr>
            <w:tcW w:type="dxa" w:w="18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Экономия средств местного бюджета на обслужиыание муниципального долга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тыс.руб.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    </w:t>
            </w: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 xml:space="preserve">46 500,00   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-</w:t>
            </w:r>
          </w:p>
        </w:tc>
      </w:tr>
      <w:tr>
        <w:trPr>
          <w:trHeight w:hRule="atLeast" w:val="990"/>
        </w:trPr>
        <w:tc>
          <w:tcPr>
            <w:tcW w:type="dxa" w:w="63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6010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Бюджетный эффект от мероприятий по оптимизации структуры и уровня муниципального долга</w:t>
            </w:r>
          </w:p>
        </w:tc>
        <w:tc>
          <w:tcPr>
            <w:tcW w:type="dxa" w:w="114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left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2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54 000,00</w:t>
            </w:r>
          </w:p>
        </w:tc>
        <w:tc>
          <w:tcPr>
            <w:tcW w:type="dxa" w:w="140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7 500,00</w:t>
            </w:r>
          </w:p>
        </w:tc>
        <w:tc>
          <w:tcPr>
            <w:tcW w:type="dxa" w:w="115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7 500,00</w:t>
            </w:r>
          </w:p>
        </w:tc>
        <w:tc>
          <w:tcPr>
            <w:tcW w:type="dxa" w:w="15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-</w:t>
            </w:r>
          </w:p>
        </w:tc>
        <w:tc>
          <w:tcPr>
            <w:tcW w:type="dxa" w:w="139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pStyle w:val="Style_3"/>
              <w:widowControl w:val="0"/>
              <w:spacing w:after="0" w:before="0" w:line="240" w:lineRule="auto"/>
              <w:ind w:firstLine="0" w:left="-113" w:right="-113"/>
              <w:jc w:val="center"/>
              <w:rPr>
                <w:rFonts w:ascii="PT Astra Serif" w:hAnsi="PT Astra Serif"/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pacing w:val="0"/>
                <w:sz w:val="22"/>
              </w:rPr>
              <w:t>-</w:t>
            </w:r>
          </w:p>
        </w:tc>
      </w:tr>
    </w:tbl>
    <w:p w14:paraId="98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99010000">
      <w:pPr>
        <w:pStyle w:val="Style_3"/>
        <w:rPr>
          <w:rFonts w:ascii="PT Astra Serif" w:hAnsi="PT Astra Serif"/>
        </w:rPr>
      </w:pPr>
    </w:p>
    <w:p w14:paraId="9A010000">
      <w:pPr>
        <w:pStyle w:val="Style_3"/>
        <w:rPr>
          <w:rFonts w:ascii="PT Astra Serif" w:hAnsi="PT Astra Serif"/>
        </w:rPr>
      </w:pPr>
    </w:p>
    <w:p w14:paraId="9B010000">
      <w:pPr>
        <w:pStyle w:val="Style_3"/>
        <w:rPr>
          <w:rFonts w:ascii="PT Astra Serif" w:hAnsi="PT Astra Serif"/>
        </w:rPr>
      </w:pPr>
    </w:p>
    <w:p w14:paraId="9C010000">
      <w:pPr>
        <w:sectPr>
          <w:headerReference r:id="rId11" w:type="default"/>
          <w:headerReference r:id="rId9" w:type="first"/>
          <w:headerReference r:id="rId13" w:type="even"/>
          <w:footerReference r:id="rId12" w:type="default"/>
          <w:footerReference r:id="rId10" w:type="first"/>
          <w:footerReference r:id="rId14" w:type="even"/>
          <w:type w:val="nextPage"/>
          <w:pgSz w:h="11906" w:orient="landscape" w:w="16838"/>
          <w:pgMar w:bottom="850" w:footer="709" w:gutter="0" w:header="709" w:left="1134" w:right="1134" w:top="1701"/>
          <w:pgNumType w:fmt="decimal"/>
        </w:sectPr>
      </w:pPr>
    </w:p>
    <w:p w14:paraId="9D010000">
      <w:pPr>
        <w:pStyle w:val="Style_3"/>
        <w:widowControl w:val="0"/>
        <w:spacing w:after="0" w:before="0" w:line="240" w:lineRule="auto"/>
        <w:ind/>
        <w:jc w:val="both"/>
        <w:rPr>
          <w:rFonts w:ascii="PT Astra Serif" w:hAnsi="PT Astra Serif"/>
          <w:sz w:val="2"/>
        </w:rPr>
      </w:pPr>
    </w:p>
    <w:tbl>
      <w:tblPr>
        <w:tblStyle w:val="Style_6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3"/>
        <w:gridCol w:w="2324"/>
        <w:gridCol w:w="1808"/>
        <w:gridCol w:w="1548"/>
        <w:gridCol w:w="1272"/>
        <w:gridCol w:w="1643"/>
        <w:gridCol w:w="1643"/>
        <w:gridCol w:w="3793"/>
      </w:tblGrid>
      <w:tr>
        <w:trPr>
          <w:trHeight w:hRule="atLeast" w:val="315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27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2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3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3793"/>
            <w:vMerge w:val="restart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5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22"/>
              </w:rPr>
              <w:t>Приложение № 2</w:t>
            </w:r>
          </w:p>
          <w:p w14:paraId="A6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22"/>
              </w:rPr>
              <w:t>к постановлению администрации</w:t>
            </w:r>
          </w:p>
          <w:p w14:paraId="A7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pacing w:val="0"/>
                <w:sz w:val="22"/>
              </w:rPr>
              <w:t>города Магнитогорска</w:t>
            </w:r>
          </w:p>
          <w:p w14:paraId="A8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spacing w:val="0"/>
                <w:sz w:val="22"/>
              </w:rPr>
              <w:t>от 13.07.2026 № 5038-П</w:t>
            </w:r>
          </w:p>
          <w:p w14:paraId="A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  <w:p w14:paraId="A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rPr>
          <w:trHeight w:hRule="atLeast" w:val="315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27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3793"/>
            <w:gridSpan w:val="1"/>
            <w:vMerge w:val="continue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/>
        </w:tc>
      </w:tr>
      <w:tr>
        <w:trPr>
          <w:trHeight w:hRule="atLeast" w:val="315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2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3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5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27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7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8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3793"/>
            <w:gridSpan w:val="1"/>
            <w:vMerge w:val="continue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/>
        </w:tc>
      </w:tr>
      <w:tr>
        <w:trPr>
          <w:trHeight w:hRule="atLeast" w:val="810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4031"/>
            <w:gridSpan w:val="7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z w:val="32"/>
              </w:rPr>
            </w:pPr>
            <w:r>
              <w:rPr>
                <w:rFonts w:ascii="PT Astra Serif" w:hAnsi="PT Astra Serif"/>
                <w:color w:val="000000"/>
                <w:spacing w:val="0"/>
                <w:sz w:val="32"/>
              </w:rPr>
              <w:t>Информация о реализации Плана мероприятий по оздоровлению муниципальных финансов города Магнитогорска до 2030 года</w:t>
            </w:r>
          </w:p>
        </w:tc>
      </w:tr>
      <w:tr>
        <w:trPr>
          <w:trHeight w:hRule="atLeast" w:val="200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z w:val="32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915"/>
            <w:gridSpan w:val="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z w:val="28"/>
              </w:rPr>
            </w:pPr>
            <w:r>
              <w:rPr>
                <w:rFonts w:ascii="PT Astra Serif" w:hAnsi="PT Astra Serif"/>
                <w:color w:val="000000"/>
                <w:spacing w:val="0"/>
                <w:sz w:val="28"/>
              </w:rPr>
              <w:t>за 20___год</w:t>
            </w: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z w:val="28"/>
              </w:rPr>
            </w:pPr>
          </w:p>
        </w:tc>
        <w:tc>
          <w:tcPr>
            <w:tcW w:type="dxa" w:w="37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</w:tr>
      <w:tr>
        <w:trPr>
          <w:trHeight w:hRule="atLeast" w:val="315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3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1707"/>
            <w:gridSpan w:val="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по_______________________________________________________________________</w:t>
            </w:r>
          </w:p>
        </w:tc>
      </w:tr>
      <w:tr>
        <w:trPr>
          <w:trHeight w:hRule="atLeast" w:val="315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5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6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1707"/>
            <w:gridSpan w:val="6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7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(органы администрации города Магнитогорска, ответственные за реализацию Плана)</w:t>
            </w:r>
          </w:p>
        </w:tc>
      </w:tr>
      <w:tr>
        <w:trPr>
          <w:trHeight w:hRule="exact" w:val="200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16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80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27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16"/>
              </w:rPr>
            </w:pPr>
          </w:p>
        </w:tc>
        <w:tc>
          <w:tcPr>
            <w:tcW w:type="dxa" w:w="37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16"/>
              </w:rPr>
            </w:pPr>
          </w:p>
        </w:tc>
      </w:tr>
      <w:tr>
        <w:trPr>
          <w:trHeight w:hRule="atLeast" w:val="510"/>
        </w:trPr>
        <w:tc>
          <w:tcPr>
            <w:tcW w:type="dxa" w:w="5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 xml:space="preserve">№ </w:t>
            </w: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п/п</w:t>
            </w:r>
          </w:p>
        </w:tc>
        <w:tc>
          <w:tcPr>
            <w:tcW w:type="dxa" w:w="2324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Наименование мероприятия</w:t>
            </w:r>
          </w:p>
        </w:tc>
        <w:tc>
          <w:tcPr>
            <w:tcW w:type="dxa" w:w="180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Информация об исполнении мероприятия</w:t>
            </w:r>
          </w:p>
        </w:tc>
        <w:tc>
          <w:tcPr>
            <w:tcW w:type="dxa" w:w="154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 xml:space="preserve">Целевой показатель </w:t>
            </w:r>
          </w:p>
        </w:tc>
        <w:tc>
          <w:tcPr>
            <w:tcW w:type="dxa" w:w="127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Единица измерения</w:t>
            </w:r>
          </w:p>
        </w:tc>
        <w:tc>
          <w:tcPr>
            <w:tcW w:type="dxa" w:w="707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Бюджетный эффект, значение целевого показателя</w:t>
            </w:r>
          </w:p>
        </w:tc>
      </w:tr>
      <w:tr>
        <w:trPr>
          <w:trHeight w:hRule="atLeast" w:val="1110"/>
        </w:trPr>
        <w:tc>
          <w:tcPr>
            <w:tcW w:type="dxa" w:w="5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324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0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54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27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план на отчетный год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фактическое достижение за отчетный год</w:t>
            </w:r>
          </w:p>
        </w:tc>
        <w:tc>
          <w:tcPr>
            <w:tcW w:type="dxa" w:w="3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обоснование отклонений достигнутого значения целевого показателя от планового (при наличии отклонения)</w:t>
            </w:r>
          </w:p>
        </w:tc>
      </w:tr>
      <w:tr>
        <w:trPr>
          <w:trHeight w:hRule="atLeast" w:val="300"/>
        </w:trPr>
        <w:tc>
          <w:tcPr>
            <w:tcW w:type="dxa" w:w="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2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8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5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2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D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3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</w:tr>
      <w:tr>
        <w:trPr>
          <w:trHeight w:hRule="atLeast" w:val="300"/>
        </w:trPr>
        <w:tc>
          <w:tcPr>
            <w:tcW w:type="dxa" w:w="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2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2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8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3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5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2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5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7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3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8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</w:tr>
      <w:tr>
        <w:trPr>
          <w:trHeight w:hRule="atLeast" w:val="300"/>
        </w:trPr>
        <w:tc>
          <w:tcPr>
            <w:tcW w:type="dxa" w:w="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23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8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5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27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D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E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64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F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379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0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</w:tr>
      <w:tr>
        <w:trPr>
          <w:trHeight w:hRule="atLeast" w:val="300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1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Руководитель</w:t>
            </w:r>
          </w:p>
        </w:tc>
        <w:tc>
          <w:tcPr>
            <w:tcW w:type="dxa" w:w="1808"/>
            <w:tcBorders>
              <w:top w:color="000000" w:sz="6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3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4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1272"/>
            <w:tcBorders>
              <w:top w:color="000000" w:sz="6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5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1643"/>
            <w:tcBorders>
              <w:top w:color="000000" w:sz="6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7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37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8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30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9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A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(должность)</w:t>
            </w: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127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(подпись)</w:t>
            </w: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(расшифровка подписи)</w:t>
            </w:r>
          </w:p>
        </w:tc>
        <w:tc>
          <w:tcPr>
            <w:tcW w:type="dxa" w:w="37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rPr>
          <w:trHeight w:hRule="exact" w:val="300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27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5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37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</w:tr>
      <w:tr>
        <w:trPr>
          <w:trHeight w:hRule="atLeast" w:val="315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Исполнитель</w:t>
            </w:r>
          </w:p>
        </w:tc>
        <w:tc>
          <w:tcPr>
            <w:tcW w:type="dxa" w:w="1808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1272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E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color w:val="000000"/>
              </w:rPr>
            </w:pPr>
          </w:p>
        </w:tc>
        <w:tc>
          <w:tcPr>
            <w:tcW w:type="dxa" w:w="1643"/>
            <w:tcBorders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F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left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pacing w:val="0"/>
                <w:sz w:val="22"/>
              </w:rPr>
              <w:t> </w:t>
            </w:r>
          </w:p>
        </w:tc>
        <w:tc>
          <w:tcPr>
            <w:tcW w:type="dxa" w:w="37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color w:val="000000"/>
              </w:rPr>
            </w:pPr>
          </w:p>
        </w:tc>
      </w:tr>
      <w:tr>
        <w:trPr>
          <w:trHeight w:hRule="atLeast" w:val="630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1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2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(должность)</w:t>
            </w: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127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(фамилия, инициалы)</w:t>
            </w: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pStyle w:val="Style_3"/>
              <w:widowControl w:val="0"/>
              <w:spacing w:after="0" w:before="0" w:line="240" w:lineRule="auto"/>
              <w:ind w:firstLine="0" w:left="-57" w:right="-57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sz w:val="24"/>
              </w:rPr>
              <w:t>(телефон)</w:t>
            </w:r>
          </w:p>
        </w:tc>
        <w:tc>
          <w:tcPr>
            <w:tcW w:type="dxa" w:w="37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8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</w:p>
        </w:tc>
      </w:tr>
      <w:tr>
        <w:trPr>
          <w:trHeight w:hRule="exact" w:val="300"/>
        </w:trPr>
        <w:tc>
          <w:tcPr>
            <w:tcW w:type="dxa" w:w="53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9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2324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A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80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B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548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C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272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D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E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164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1F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3793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2002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0"/>
              </w:rPr>
            </w:pPr>
          </w:p>
        </w:tc>
      </w:tr>
    </w:tbl>
    <w:p w14:paraId="21020000">
      <w:pPr>
        <w:pStyle w:val="Style_3"/>
        <w:widowControl w:val="0"/>
        <w:spacing w:after="200" w:before="0"/>
        <w:ind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«____»__________20__г.</w:t>
      </w:r>
      <w:bookmarkStart w:id="7" w:name="_GoBack"/>
      <w:bookmarkEnd w:id="7"/>
    </w:p>
    <w:sectPr>
      <w:headerReference r:id="rId3" w:type="default"/>
      <w:headerReference r:id="rId1" w:type="first"/>
      <w:headerReference r:id="rId7" w:type="even"/>
      <w:footerReference r:id="rId4" w:type="default"/>
      <w:footerReference r:id="rId2" w:type="first"/>
      <w:footerReference r:id="rId8" w:type="even"/>
      <w:type w:val="nextPage"/>
      <w:pgSz w:h="11906" w:orient="landscape" w:w="16838"/>
      <w:pgMar w:bottom="851" w:footer="709" w:gutter="0" w:header="709" w:left="1134" w:right="1134" w:top="1701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Вр-2433120</w:t>
    </w: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Вр-2433120</w:t>
    </w:r>
  </w:p>
</w:ftr>
</file>

<file path=word/footer1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2"/>
    </w:pPr>
    <w:r>
      <w:rPr>
        <w:rFonts w:ascii="PT Astra Serif" w:hAnsi="PT Astra Serif"/>
        <w:sz w:val="24"/>
      </w:rPr>
      <w:t>Вр-2433120Вр-2433120</w: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Вр-2433120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widowControl w:val="0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Вр-2433120</w:t>
    </w: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9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A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B000000">
    <w:pPr>
      <w:pStyle w:val="Style_1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pacing w:val="0"/>
      <w:sz w:val="22"/>
    </w:rPr>
  </w:style>
  <w:style w:styleId="Style_7" w:type="paragraph">
    <w:name w:val="toc 2"/>
    <w:next w:val="Style_3"/>
    <w:link w:val="Style_7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2"/>
    <w:link w:val="Style_7"/>
    <w:rPr>
      <w:rFonts w:ascii="XO Thames" w:hAnsi="XO Thames"/>
      <w:color w:val="000000"/>
      <w:spacing w:val="0"/>
      <w:sz w:val="28"/>
    </w:rPr>
  </w:style>
  <w:style w:styleId="Style_4" w:type="paragraph">
    <w:name w:val="List Paragraph"/>
    <w:basedOn w:val="Style_3"/>
    <w:link w:val="Style_4_ch"/>
    <w:pPr>
      <w:widowControl w:val="0"/>
      <w:spacing w:after="200" w:before="0"/>
      <w:ind w:firstLine="0" w:left="720" w:right="0"/>
      <w:contextualSpacing w:val="1"/>
    </w:pPr>
  </w:style>
  <w:style w:styleId="Style_4_ch" w:type="character">
    <w:name w:val="List Paragraph"/>
    <w:basedOn w:val="Style_3_ch"/>
    <w:link w:val="Style_4"/>
  </w:style>
  <w:style w:styleId="Style_2" w:type="paragraph">
    <w:name w:val="Footer"/>
    <w:link w:val="Style_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_ch" w:type="character">
    <w:name w:val="Footer"/>
    <w:link w:val="Style_2"/>
    <w:rPr>
      <w:rFonts w:asciiTheme="minorAscii" w:hAnsiTheme="minorHAnsi"/>
      <w:color w:val="000000"/>
      <w:spacing w:val="0"/>
      <w:sz w:val="22"/>
    </w:rPr>
  </w:style>
  <w:style w:styleId="Style_8" w:type="paragraph">
    <w:name w:val="toc 4"/>
    <w:next w:val="Style_3"/>
    <w:link w:val="Style_8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oc 6"/>
    <w:next w:val="Style_3"/>
    <w:link w:val="Style_9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6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toc 7"/>
    <w:next w:val="Style_3"/>
    <w:link w:val="Style_10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7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heading 4"/>
    <w:next w:val="Style_3"/>
    <w:link w:val="Style_11_ch"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1_ch" w:type="character">
    <w:name w:val="heading 4"/>
    <w:link w:val="Style_11"/>
    <w:rPr>
      <w:rFonts w:ascii="XO Thames" w:hAnsi="XO Thames"/>
      <w:b w:val="1"/>
      <w:color w:val="000000"/>
      <w:spacing w:val="0"/>
      <w:sz w:val="24"/>
    </w:rPr>
  </w:style>
  <w:style w:styleId="Style_12" w:type="paragraph">
    <w:name w:val="Endnote"/>
    <w:link w:val="Style_1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_ch" w:type="character">
    <w:name w:val="Endnote"/>
    <w:link w:val="Style_12"/>
    <w:rPr>
      <w:rFonts w:ascii="XO Thames" w:hAnsi="XO Thames"/>
      <w:color w:val="000000"/>
      <w:spacing w:val="0"/>
      <w:sz w:val="22"/>
    </w:rPr>
  </w:style>
  <w:style w:styleId="Style_13" w:type="paragraph">
    <w:name w:val="heading 3"/>
    <w:next w:val="Style_3"/>
    <w:link w:val="Style_13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3_ch" w:type="character">
    <w:name w:val="heading 3"/>
    <w:link w:val="Style_13"/>
    <w:rPr>
      <w:rFonts w:ascii="XO Thames" w:hAnsi="XO Thames"/>
      <w:b w:val="1"/>
      <w:color w:val="000000"/>
      <w:spacing w:val="0"/>
      <w:sz w:val="26"/>
    </w:rPr>
  </w:style>
  <w:style w:styleId="Style_14" w:type="paragraph">
    <w:name w:val="Contents 1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4_ch" w:type="character">
    <w:name w:val="Contents 1"/>
    <w:link w:val="Style_14"/>
    <w:rPr>
      <w:rFonts w:ascii="XO Thames" w:hAnsi="XO Thames"/>
      <w:b w:val="1"/>
      <w:color w:val="000000"/>
      <w:spacing w:val="0"/>
      <w:sz w:val="28"/>
    </w:rPr>
  </w:style>
  <w:style w:styleId="Style_5" w:type="paragraph">
    <w:name w:val="Body Text"/>
    <w:basedOn w:val="Style_3"/>
    <w:link w:val="Style_5_ch"/>
    <w:pPr>
      <w:widowControl w:val="0"/>
      <w:spacing w:after="140" w:before="0" w:line="276" w:lineRule="auto"/>
      <w:ind/>
    </w:pPr>
  </w:style>
  <w:style w:styleId="Style_5_ch" w:type="character">
    <w:name w:val="Body Text"/>
    <w:basedOn w:val="Style_3_ch"/>
    <w:link w:val="Style_5"/>
  </w:style>
  <w:style w:styleId="Style_15" w:type="paragraph">
    <w:name w:val="Subtitle"/>
    <w:link w:val="Style_15_ch"/>
    <w:rPr>
      <w:rFonts w:ascii="XO Thames" w:hAnsi="XO Thames"/>
      <w:i w:val="1"/>
      <w:sz w:val="24"/>
    </w:rPr>
  </w:style>
  <w:style w:styleId="Style_15_ch" w:type="character">
    <w:name w:val="Subtitle"/>
    <w:link w:val="Style_15"/>
    <w:rPr>
      <w:rFonts w:ascii="XO Thames" w:hAnsi="XO Thames"/>
      <w:i w:val="1"/>
      <w:sz w:val="24"/>
    </w:rPr>
  </w:style>
  <w:style w:styleId="Style_16" w:type="paragraph">
    <w:name w:val="Contents 8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_ch" w:type="character">
    <w:name w:val="Contents 8"/>
    <w:link w:val="Style_16"/>
    <w:rPr>
      <w:rFonts w:ascii="XO Thames" w:hAnsi="XO Thames"/>
      <w:color w:val="000000"/>
      <w:spacing w:val="0"/>
      <w:sz w:val="28"/>
    </w:rPr>
  </w:style>
  <w:style w:styleId="Style_17" w:type="paragraph">
    <w:name w:val="Caption"/>
    <w:basedOn w:val="Style_3"/>
    <w:link w:val="Style_17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17_ch" w:type="character">
    <w:name w:val="Caption"/>
    <w:basedOn w:val="Style_3_ch"/>
    <w:link w:val="Style_17"/>
    <w:rPr>
      <w:rFonts w:ascii="PT Astra Serif" w:hAnsi="PT Astra Serif"/>
      <w:i w:val="1"/>
      <w:sz w:val="24"/>
    </w:rPr>
  </w:style>
  <w:style w:styleId="Style_18" w:type="paragraph">
    <w:name w:val="Колонтитул"/>
    <w:basedOn w:val="Style_3"/>
    <w:link w:val="Style_18_ch"/>
  </w:style>
  <w:style w:styleId="Style_18_ch" w:type="character">
    <w:name w:val="Колонтитул"/>
    <w:basedOn w:val="Style_3_ch"/>
    <w:link w:val="Style_18"/>
  </w:style>
  <w:style w:styleId="Style_19" w:type="paragraph">
    <w:name w:val="Text body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9_ch" w:type="character">
    <w:name w:val="Text body"/>
    <w:link w:val="Style_19"/>
    <w:rPr>
      <w:rFonts w:asciiTheme="minorAscii" w:hAnsiTheme="minorHAnsi"/>
      <w:color w:val="000000"/>
      <w:spacing w:val="0"/>
      <w:sz w:val="22"/>
    </w:rPr>
  </w:style>
  <w:style w:styleId="Style_20" w:type="paragraph">
    <w:name w:val="Верхний колонтитул слева"/>
    <w:basedOn w:val="Style_1"/>
    <w:link w:val="Style_20_ch"/>
  </w:style>
  <w:style w:styleId="Style_20_ch" w:type="character">
    <w:name w:val="Верхний колонтитул слева"/>
    <w:basedOn w:val="Style_1_ch"/>
    <w:link w:val="Style_20"/>
  </w:style>
  <w:style w:styleId="Style_21" w:type="paragraph">
    <w:name w:val="Contents 6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Contents 6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heading 2"/>
    <w:next w:val="Style_3"/>
    <w:link w:val="Style_22_ch"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2_ch" w:type="character">
    <w:name w:val="heading 2"/>
    <w:link w:val="Style_22"/>
    <w:rPr>
      <w:rFonts w:ascii="XO Thames" w:hAnsi="XO Thames"/>
      <w:b w:val="1"/>
      <w:color w:val="000000"/>
      <w:spacing w:val="0"/>
      <w:sz w:val="28"/>
    </w:rPr>
  </w:style>
  <w:style w:styleId="Style_23" w:type="paragraph">
    <w:name w:val="Contents 4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_ch" w:type="character">
    <w:name w:val="Contents 4"/>
    <w:link w:val="Style_23"/>
    <w:rPr>
      <w:rFonts w:ascii="XO Thames" w:hAnsi="XO Thames"/>
      <w:color w:val="000000"/>
      <w:spacing w:val="0"/>
      <w:sz w:val="28"/>
    </w:rPr>
  </w:style>
  <w:style w:styleId="Style_24" w:type="paragraph">
    <w:name w:val="Internet link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4_ch" w:type="character">
    <w:name w:val="Internet link"/>
    <w:link w:val="Style_24"/>
    <w:rPr>
      <w:rFonts w:ascii="Calibri" w:hAnsi="Calibri"/>
      <w:color w:val="0000FF"/>
      <w:spacing w:val="0"/>
      <w:sz w:val="22"/>
      <w:u w:val="single"/>
    </w:rPr>
  </w:style>
  <w:style w:styleId="Style_25" w:type="paragraph">
    <w:name w:val="Title"/>
    <w:link w:val="Style_25_ch"/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Заголовок"/>
    <w:basedOn w:val="Style_3"/>
    <w:next w:val="Style_5"/>
    <w:link w:val="Style_26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26_ch" w:type="character">
    <w:name w:val="Заголовок"/>
    <w:basedOn w:val="Style_3_ch"/>
    <w:link w:val="Style_26"/>
    <w:rPr>
      <w:rFonts w:ascii="PT Astra Serif" w:hAnsi="PT Astra Serif"/>
      <w:sz w:val="28"/>
    </w:rPr>
  </w:style>
  <w:style w:styleId="Style_27" w:type="paragraph">
    <w:name w:val="Heading 5"/>
    <w:link w:val="Style_27_ch"/>
    <w:rPr>
      <w:rFonts w:ascii="XO Thames" w:hAnsi="XO Thames"/>
      <w:b w:val="1"/>
      <w:color w:val="000000"/>
      <w:spacing w:val="0"/>
      <w:sz w:val="22"/>
    </w:rPr>
  </w:style>
  <w:style w:styleId="Style_27_ch" w:type="character">
    <w:name w:val="Heading 5"/>
    <w:link w:val="Style_27"/>
    <w:rPr>
      <w:rFonts w:ascii="XO Thames" w:hAnsi="XO Thames"/>
      <w:b w:val="1"/>
      <w:color w:val="000000"/>
      <w:spacing w:val="0"/>
      <w:sz w:val="22"/>
    </w:rPr>
  </w:style>
  <w:style w:styleId="Style_28" w:type="paragraph">
    <w:name w:val="heading 1"/>
    <w:next w:val="Style_3"/>
    <w:link w:val="Style_28_ch"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8_ch" w:type="character">
    <w:name w:val="heading 1"/>
    <w:link w:val="Style_28"/>
    <w:rPr>
      <w:rFonts w:ascii="XO Thames" w:hAnsi="XO Thames"/>
      <w:b w:val="1"/>
      <w:color w:val="000000"/>
      <w:spacing w:val="0"/>
      <w:sz w:val="32"/>
    </w:rPr>
  </w:style>
  <w:style w:styleId="Style_1" w:type="paragraph">
    <w:name w:val="Header"/>
    <w:link w:val="Style_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1_ch" w:type="character">
    <w:name w:val="Header"/>
    <w:link w:val="Style_1"/>
    <w:rPr>
      <w:rFonts w:asciiTheme="minorAscii" w:hAnsiTheme="minorHAnsi"/>
      <w:color w:val="000000"/>
      <w:spacing w:val="0"/>
      <w:sz w:val="22"/>
    </w:rPr>
  </w:style>
  <w:style w:styleId="Style_29" w:type="paragraph">
    <w:name w:val="List"/>
    <w:basedOn w:val="Style_5"/>
    <w:link w:val="Style_29_ch"/>
    <w:rPr>
      <w:rFonts w:ascii="PT Astra Serif" w:hAnsi="PT Astra Serif"/>
    </w:rPr>
  </w:style>
  <w:style w:styleId="Style_29_ch" w:type="character">
    <w:name w:val="List"/>
    <w:basedOn w:val="Style_5_ch"/>
    <w:link w:val="Style_29"/>
    <w:rPr>
      <w:rFonts w:ascii="PT Astra Serif" w:hAnsi="PT Astra Serif"/>
    </w:rPr>
  </w:style>
  <w:style w:styleId="Style_30" w:type="paragraph">
    <w:name w:val="Caption"/>
    <w:link w:val="Style_30_ch"/>
    <w:rPr>
      <w:rFonts w:ascii="PT Astra Serif" w:hAnsi="PT Astra Serif"/>
      <w:i w:val="1"/>
      <w:sz w:val="24"/>
    </w:rPr>
  </w:style>
  <w:style w:styleId="Style_30_ch" w:type="character">
    <w:name w:val="Caption"/>
    <w:link w:val="Style_30"/>
    <w:rPr>
      <w:rFonts w:ascii="PT Astra Serif" w:hAnsi="PT Astra Serif"/>
      <w:i w:val="1"/>
      <w:sz w:val="24"/>
    </w:rPr>
  </w:style>
  <w:style w:styleId="Style_31" w:type="paragraph">
    <w:name w:val="toc 3"/>
    <w:next w:val="Style_3"/>
    <w:link w:val="Style_31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3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Contents 3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Contents 3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List"/>
    <w:basedOn w:val="Style_19"/>
    <w:link w:val="Style_33_ch"/>
    <w:rPr>
      <w:rFonts w:ascii="PT Astra Serif" w:hAnsi="PT Astra Serif"/>
    </w:rPr>
  </w:style>
  <w:style w:styleId="Style_33_ch" w:type="character">
    <w:name w:val="List"/>
    <w:basedOn w:val="Style_19_ch"/>
    <w:link w:val="Style_33"/>
    <w:rPr>
      <w:rFonts w:ascii="PT Astra Serif" w:hAnsi="PT Astra Serif"/>
    </w:rPr>
  </w:style>
  <w:style w:styleId="Style_34" w:type="paragraph">
    <w:name w:val="Default Paragraph Font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34_ch" w:type="character">
    <w:name w:val="Default Paragraph Font"/>
    <w:link w:val="Style_34"/>
    <w:rPr>
      <w:rFonts w:asciiTheme="minorAscii" w:hAnsiTheme="minorHAnsi"/>
      <w:color w:val="000000"/>
      <w:spacing w:val="0"/>
      <w:sz w:val="22"/>
    </w:rPr>
  </w:style>
  <w:style w:styleId="Style_35" w:type="paragraph">
    <w:name w:val="Header"/>
    <w:link w:val="Style_35_ch"/>
    <w:rPr>
      <w:rFonts w:asciiTheme="minorAscii" w:hAnsiTheme="minorHAnsi"/>
      <w:color w:val="000000"/>
      <w:spacing w:val="0"/>
      <w:sz w:val="22"/>
    </w:rPr>
  </w:style>
  <w:style w:styleId="Style_35_ch" w:type="character">
    <w:name w:val="Header"/>
    <w:link w:val="Style_35"/>
    <w:rPr>
      <w:rFonts w:asciiTheme="minorAscii" w:hAnsiTheme="minorHAnsi"/>
      <w:color w:val="000000"/>
      <w:spacing w:val="0"/>
      <w:sz w:val="22"/>
    </w:rPr>
  </w:style>
  <w:style w:styleId="Style_36" w:type="paragraph">
    <w:name w:val="Contents 9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6_ch" w:type="character">
    <w:name w:val="Contents 9"/>
    <w:link w:val="Style_36"/>
    <w:rPr>
      <w:rFonts w:ascii="XO Thames" w:hAnsi="XO Thames"/>
      <w:color w:val="000000"/>
      <w:spacing w:val="0"/>
      <w:sz w:val="28"/>
    </w:rPr>
  </w:style>
  <w:style w:styleId="Style_37" w:type="paragraph">
    <w:name w:val="Нижний колонтитул Знак"/>
    <w:basedOn w:val="Style_34"/>
    <w:link w:val="Style_37_ch"/>
  </w:style>
  <w:style w:styleId="Style_37_ch" w:type="character">
    <w:name w:val="Нижний колонтитул Знак"/>
    <w:basedOn w:val="Style_34_ch"/>
    <w:link w:val="Style_37"/>
  </w:style>
  <w:style w:styleId="Style_38" w:type="paragraph">
    <w:name w:val="heading 5"/>
    <w:next w:val="Style_3"/>
    <w:link w:val="Style_38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8_ch" w:type="character">
    <w:name w:val="heading 5"/>
    <w:link w:val="Style_38"/>
    <w:rPr>
      <w:rFonts w:ascii="XO Thames" w:hAnsi="XO Thames"/>
      <w:b w:val="1"/>
      <w:color w:val="000000"/>
      <w:spacing w:val="0"/>
      <w:sz w:val="22"/>
    </w:rPr>
  </w:style>
  <w:style w:styleId="Style_39" w:type="paragraph">
    <w:name w:val="heading 1"/>
    <w:link w:val="Style_39_ch"/>
    <w:uiPriority w:val="9"/>
    <w:qFormat/>
    <w:pPr>
      <w:ind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9_ch" w:type="character">
    <w:name w:val="heading 1"/>
    <w:link w:val="Style_39"/>
    <w:rPr>
      <w:rFonts w:ascii="XO Thames" w:hAnsi="XO Thames"/>
      <w:b w:val="1"/>
      <w:color w:val="000000"/>
      <w:spacing w:val="0"/>
      <w:sz w:val="32"/>
    </w:rPr>
  </w:style>
  <w:style w:styleId="Style_40" w:type="paragraph">
    <w:name w:val="Hyperlink"/>
    <w:link w:val="Style_40_ch"/>
    <w:rPr>
      <w:color w:val="0000FF"/>
      <w:u w:val="single"/>
    </w:rPr>
  </w:style>
  <w:style w:styleId="Style_40_ch" w:type="character">
    <w:name w:val="Hyperlink"/>
    <w:link w:val="Style_40"/>
    <w:rPr>
      <w:color w:val="0000FF"/>
      <w:u w:val="single"/>
    </w:rPr>
  </w:style>
  <w:style w:styleId="Style_41" w:type="paragraph">
    <w:name w:val="Footnote"/>
    <w:link w:val="Style_4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41_ch" w:type="character">
    <w:name w:val="Footnote"/>
    <w:link w:val="Style_41"/>
    <w:rPr>
      <w:rFonts w:ascii="XO Thames" w:hAnsi="XO Thames"/>
      <w:color w:val="000000"/>
      <w:spacing w:val="0"/>
      <w:sz w:val="22"/>
    </w:rPr>
  </w:style>
  <w:style w:styleId="Style_42" w:type="paragraph">
    <w:name w:val="toc 1"/>
    <w:next w:val="Style_3"/>
    <w:link w:val="Style_42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2_ch" w:type="character">
    <w:name w:val="toc 1"/>
    <w:link w:val="Style_42"/>
    <w:rPr>
      <w:rFonts w:ascii="XO Thames" w:hAnsi="XO Thames"/>
      <w:b w:val="1"/>
      <w:color w:val="000000"/>
      <w:spacing w:val="0"/>
      <w:sz w:val="28"/>
    </w:rPr>
  </w:style>
  <w:style w:styleId="Style_43" w:type="paragraph">
    <w:name w:val="Header and Footer"/>
    <w:link w:val="Style_43_ch"/>
  </w:style>
  <w:style w:styleId="Style_43_ch" w:type="character">
    <w:name w:val="Header and Footer"/>
    <w:link w:val="Style_43"/>
  </w:style>
  <w:style w:styleId="Style_44" w:type="paragraph">
    <w:name w:val="toc 9"/>
    <w:next w:val="Style_3"/>
    <w:link w:val="Style_44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4_ch" w:type="character">
    <w:name w:val="toc 9"/>
    <w:link w:val="Style_44"/>
    <w:rPr>
      <w:rFonts w:ascii="XO Thames" w:hAnsi="XO Thames"/>
      <w:color w:val="000000"/>
      <w:spacing w:val="0"/>
      <w:sz w:val="28"/>
    </w:rPr>
  </w:style>
  <w:style w:styleId="Style_45" w:type="paragraph">
    <w:name w:val="Balloon Text"/>
    <w:basedOn w:val="Style_3"/>
    <w:link w:val="Style_45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45_ch" w:type="character">
    <w:name w:val="Balloon Text"/>
    <w:basedOn w:val="Style_3_ch"/>
    <w:link w:val="Style_45"/>
    <w:rPr>
      <w:rFonts w:ascii="Tahoma" w:hAnsi="Tahoma"/>
      <w:sz w:val="16"/>
    </w:rPr>
  </w:style>
  <w:style w:styleId="Style_46" w:type="paragraph">
    <w:name w:val="toc 8"/>
    <w:next w:val="Style_3"/>
    <w:link w:val="Style_46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toc 8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caption"/>
    <w:basedOn w:val="Style_3"/>
    <w:link w:val="Style_47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47_ch" w:type="character">
    <w:name w:val="caption"/>
    <w:basedOn w:val="Style_3_ch"/>
    <w:link w:val="Style_47"/>
    <w:rPr>
      <w:rFonts w:ascii="PT Astra Serif" w:hAnsi="PT Astra Serif"/>
      <w:i w:val="1"/>
      <w:sz w:val="24"/>
    </w:rPr>
  </w:style>
  <w:style w:styleId="Style_48" w:type="paragraph">
    <w:name w:val="Heading 3"/>
    <w:link w:val="Style_48_ch"/>
    <w:rPr>
      <w:rFonts w:ascii="XO Thames" w:hAnsi="XO Thames"/>
      <w:b w:val="1"/>
      <w:color w:val="000000"/>
      <w:spacing w:val="0"/>
      <w:sz w:val="26"/>
    </w:rPr>
  </w:style>
  <w:style w:styleId="Style_48_ch" w:type="character">
    <w:name w:val="Heading 3"/>
    <w:link w:val="Style_48"/>
    <w:rPr>
      <w:rFonts w:ascii="XO Thames" w:hAnsi="XO Thames"/>
      <w:b w:val="1"/>
      <w:color w:val="000000"/>
      <w:spacing w:val="0"/>
      <w:sz w:val="26"/>
    </w:rPr>
  </w:style>
  <w:style w:styleId="Style_49" w:type="paragraph">
    <w:name w:val="Footer"/>
    <w:link w:val="Style_49_ch"/>
  </w:style>
  <w:style w:styleId="Style_49_ch" w:type="character">
    <w:name w:val="Footer"/>
    <w:link w:val="Style_49"/>
  </w:style>
  <w:style w:styleId="Style_50" w:type="paragraph">
    <w:name w:val="toc 5"/>
    <w:next w:val="Style_3"/>
    <w:link w:val="Style_50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toc 5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Верхний колонтитул Знак"/>
    <w:basedOn w:val="Style_34"/>
    <w:link w:val="Style_51_ch"/>
  </w:style>
  <w:style w:styleId="Style_51_ch" w:type="character">
    <w:name w:val="Верхний колонтитул Знак"/>
    <w:basedOn w:val="Style_34_ch"/>
    <w:link w:val="Style_51"/>
  </w:style>
  <w:style w:styleId="Style_52" w:type="paragraph">
    <w:name w:val="Subtitle"/>
    <w:next w:val="Style_3"/>
    <w:link w:val="Style_52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52_ch" w:type="character">
    <w:name w:val="Subtitle"/>
    <w:link w:val="Style_52"/>
    <w:rPr>
      <w:rFonts w:ascii="XO Thames" w:hAnsi="XO Thames"/>
      <w:i w:val="1"/>
      <w:color w:val="000000"/>
      <w:spacing w:val="0"/>
      <w:sz w:val="24"/>
    </w:rPr>
  </w:style>
  <w:style w:styleId="Style_53" w:type="paragraph">
    <w:name w:val="Contents 5"/>
    <w:link w:val="Style_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Contents 5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Указатель"/>
    <w:basedOn w:val="Style_3"/>
    <w:link w:val="Style_54_ch"/>
    <w:rPr>
      <w:rFonts w:ascii="PT Astra Serif" w:hAnsi="PT Astra Serif"/>
    </w:rPr>
  </w:style>
  <w:style w:styleId="Style_54_ch" w:type="character">
    <w:name w:val="Указатель"/>
    <w:basedOn w:val="Style_3_ch"/>
    <w:link w:val="Style_54"/>
    <w:rPr>
      <w:rFonts w:ascii="PT Astra Serif" w:hAnsi="PT Astra Serif"/>
    </w:rPr>
  </w:style>
  <w:style w:styleId="Style_55" w:type="paragraph">
    <w:name w:val="Title"/>
    <w:next w:val="Style_3"/>
    <w:link w:val="Style_55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55_ch" w:type="character">
    <w:name w:val="Title"/>
    <w:link w:val="Style_55"/>
    <w:rPr>
      <w:rFonts w:ascii="XO Thames" w:hAnsi="XO Thames"/>
      <w:b w:val="1"/>
      <w:caps w:val="1"/>
      <w:color w:val="000000"/>
      <w:spacing w:val="0"/>
      <w:sz w:val="40"/>
    </w:rPr>
  </w:style>
  <w:style w:styleId="Style_56" w:type="paragraph">
    <w:name w:val="heading 4"/>
    <w:link w:val="Style_56_ch"/>
    <w:uiPriority w:val="9"/>
    <w:qFormat/>
    <w:pPr>
      <w:ind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6_ch" w:type="character">
    <w:name w:val="heading 4"/>
    <w:link w:val="Style_56"/>
    <w:rPr>
      <w:rFonts w:ascii="XO Thames" w:hAnsi="XO Thames"/>
      <w:b w:val="1"/>
      <w:color w:val="000000"/>
      <w:spacing w:val="0"/>
      <w:sz w:val="24"/>
    </w:rPr>
  </w:style>
  <w:style w:styleId="Style_57" w:type="paragraph">
    <w:name w:val="Contents 2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Contents 2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heading 2"/>
    <w:link w:val="Style_58_ch"/>
    <w:uiPriority w:val="9"/>
    <w:qFormat/>
    <w:pPr>
      <w:ind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8_ch" w:type="character">
    <w:name w:val="heading 2"/>
    <w:link w:val="Style_58"/>
    <w:rPr>
      <w:rFonts w:ascii="XO Thames" w:hAnsi="XO Thames"/>
      <w:b w:val="1"/>
      <w:color w:val="000000"/>
      <w:spacing w:val="0"/>
      <w:sz w:val="28"/>
    </w:rPr>
  </w:style>
  <w:style w:styleId="Style_59" w:type="paragraph">
    <w:name w:val="Contents 7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9_ch" w:type="character">
    <w:name w:val="Contents 7"/>
    <w:link w:val="Style_59"/>
    <w:rPr>
      <w:rFonts w:ascii="XO Thames" w:hAnsi="XO Thames"/>
      <w:color w:val="000000"/>
      <w:spacing w:val="0"/>
      <w:sz w:val="28"/>
    </w:rPr>
  </w:style>
  <w:style w:default="1" w:styleId="Style_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60" w:type="table">
    <w:name w:val="Table Grid"/>
    <w:basedOn w:val="Style_6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styles.xml" Type="http://schemas.openxmlformats.org/officeDocument/2006/relationships/style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footer14.xml" Type="http://schemas.openxmlformats.org/officeDocument/2006/relationships/footer"/>
  <Relationship Id="rId13" Target="header13.xml" Type="http://schemas.openxmlformats.org/officeDocument/2006/relationships/header"/>
  <Relationship Id="rId18" Target="stylesWithEffects.xml" Type="http://schemas.microsoft.com/office/2007/relationships/stylesWithEffects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19" Target="webSettings.xml" Type="http://schemas.openxmlformats.org/officeDocument/2006/relationships/webSettings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ettings.xml" Type="http://schemas.openxmlformats.org/officeDocument/2006/relationships/settings"/>
  <Relationship Id="rId20" Target="theme/theme1.xml" Type="http://schemas.openxmlformats.org/officeDocument/2006/relationships/theme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2026-07-13T06:19:19Z</dcterms:created>
  <dcterms:modified xsi:type="dcterms:W3CDTF">2026-07-15T05:56:35Z</dcterms:modified>
</cp:coreProperties>
</file>