
<file path=[Content_Types].xml><?xml version="1.0" encoding="utf-8"?>
<Types xmlns="http://schemas.openxmlformats.org/package/2006/content-types">
  <Default ContentType="image/x-emf" Extension="e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3"/>
        <w:widowControl w:val="1"/>
        <w:spacing w:after="0" w:before="0" w:line="240" w:lineRule="auto"/>
        <w:ind w:right="4535"/>
        <w:contextualSpacing w:val="1"/>
        <w:rPr>
          <w:rFonts w:ascii="PT Astra Serif" w:hAnsi="PT Astra Serif"/>
          <w:color w:val="000000"/>
          <w:sz w:val="28"/>
        </w:rPr>
      </w:pP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03.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3968</w:t>
      </w:r>
      <w:r>
        <w:rPr>
          <w:spacing w:val="-4"/>
          <w:sz w:val="28"/>
        </w:rPr>
        <w:t>-П</w:t>
      </w:r>
    </w:p>
    <w:p w14:paraId="0E000000">
      <w:pPr>
        <w:pStyle w:val="Style_3"/>
        <w:widowControl w:val="1"/>
        <w:spacing w:after="0" w:before="0" w:line="228" w:lineRule="auto"/>
        <w:ind w:right="4535"/>
        <w:contextualSpacing w:val="1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О внесении изменений в постановление администрации города Магнитогорска от 08.07.2025 № 5892-П</w:t>
      </w:r>
    </w:p>
    <w:p w14:paraId="0F000000">
      <w:pPr>
        <w:pStyle w:val="Style_3"/>
        <w:widowControl w:val="1"/>
        <w:spacing w:after="0" w:before="0" w:line="228" w:lineRule="auto"/>
        <w:ind/>
        <w:contextualSpacing w:val="1"/>
        <w:rPr>
          <w:rFonts w:ascii="PT Astra Serif" w:hAnsi="PT Astra Serif"/>
          <w:color w:val="000000"/>
          <w:sz w:val="28"/>
        </w:rPr>
      </w:pPr>
    </w:p>
    <w:p w14:paraId="10000000">
      <w:pPr>
        <w:pStyle w:val="Style_3"/>
        <w:widowControl w:val="1"/>
        <w:spacing w:after="0" w:before="0" w:line="228" w:lineRule="auto"/>
        <w:ind w:firstLine="709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В соответствии с пунктом 1 статьи 160.1 Бюджетного кодекса Российской Федерации, постановлением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Федерации», подпунктом 7 пункта 1 статьи 12 Положения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о бюджетном процессе в городе Магнитогорске, утвержденного Решением Магнитогорского городского Собрания депутатов от 30 марта 2021 года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№ 102, руководствуясь Уставом города Магнитогорска, </w:t>
      </w:r>
    </w:p>
    <w:p w14:paraId="11000000">
      <w:pPr>
        <w:pStyle w:val="Style_3"/>
        <w:widowControl w:val="1"/>
        <w:spacing w:after="0" w:before="0" w:line="228" w:lineRule="auto"/>
        <w:ind w:firstLine="851"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12000000">
      <w:pPr>
        <w:pStyle w:val="Style_3"/>
        <w:widowControl w:val="1"/>
        <w:spacing w:after="0" w:before="0" w:line="228" w:lineRule="auto"/>
        <w:ind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28" w:lineRule="auto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1.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от 08.07.2025 № 5892-П «Об утверждении Методики прогнозирования </w:t>
      </w:r>
      <w:r>
        <w:rPr>
          <w:rFonts w:ascii="PT Astra Serif" w:hAnsi="PT Astra Serif"/>
          <w:color w:val="000000"/>
          <w:spacing w:val="-6"/>
          <w:sz w:val="28"/>
        </w:rPr>
        <w:t>поступлений доходов, администрируемых главными администраторами доходов</w:t>
      </w:r>
      <w:r>
        <w:rPr>
          <w:rFonts w:ascii="PT Astra Serif" w:hAnsi="PT Astra Serif"/>
          <w:color w:val="000000"/>
          <w:sz w:val="28"/>
        </w:rPr>
        <w:t xml:space="preserve"> бюджета города Магнитогорска, в бюджет города» (далее – постановление) следующие изменения: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28" w:lineRule="auto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1)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пункт 2 приложения к постановлению признать утратившим силу;</w:t>
      </w:r>
    </w:p>
    <w:p w14:paraId="1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2)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пункт 3 приложения к постановлению изложить в следующей редакции:</w:t>
      </w:r>
    </w:p>
    <w:p w14:paraId="1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28" w:lineRule="auto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«3</w:t>
      </w:r>
      <w:r>
        <w:rPr>
          <w:rFonts w:ascii="PT Astra Serif" w:hAnsi="PT Astra Serif"/>
          <w:color w:val="000000"/>
          <w:sz w:val="28"/>
        </w:rPr>
        <w:t>.  </w:t>
      </w:r>
      <w:r>
        <w:rPr>
          <w:rFonts w:ascii="PT Astra Serif" w:hAnsi="PT Astra Serif"/>
          <w:color w:val="000000"/>
          <w:sz w:val="28"/>
          <w:highlight w:val="white"/>
        </w:rPr>
        <w:t xml:space="preserve">Прогнозирование поступлений доходов осуществляется </w:t>
      </w:r>
      <w:r>
        <w:rPr>
          <w:rFonts w:ascii="PT Astra Serif" w:hAnsi="PT Astra Serif"/>
          <w:color w:val="000000"/>
          <w:sz w:val="28"/>
          <w:highlight w:val="white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в соответствии с нормативными правовыми актами Российской Федерации, Челябинской области и органов местного самоуправления города Магнитогорска. При этом проекты нормативных правовых актов и (или) проекты актов, предусматривающих внесение изменений в соответствующие нормативные правовые акты, могут учитываться при расчете прогнозного объема поступлений доходов.</w:t>
      </w:r>
      <w:r>
        <w:rPr>
          <w:rFonts w:ascii="PT Astra Serif" w:hAnsi="PT Astra Serif"/>
          <w:color w:val="000000"/>
          <w:sz w:val="28"/>
          <w:highlight w:val="white"/>
        </w:rPr>
        <w:t>»;</w:t>
      </w:r>
    </w:p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3)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пункт 5 приложения к постановлению изложить в следующей редакции:</w:t>
      </w:r>
    </w:p>
    <w:p w14:paraId="18000000">
      <w:pPr>
        <w:pStyle w:val="Style_4"/>
        <w:widowControl w:val="1"/>
        <w:spacing w:after="0" w:before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«5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В целях настоящей Методики используются следующие понятия:</w:t>
      </w:r>
    </w:p>
    <w:p w14:paraId="19000000">
      <w:pPr>
        <w:pStyle w:val="Style_4"/>
        <w:widowControl w:val="1"/>
        <w:spacing w:after="0" w:before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отчетный год - год, предшествующий текущему финансовому году;</w:t>
      </w:r>
    </w:p>
    <w:p w14:paraId="1A000000">
      <w:pPr>
        <w:pStyle w:val="Style_4"/>
        <w:widowControl w:val="1"/>
        <w:spacing w:after="0" w:before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отчетный период - последние три года, предшествующие текущему финансовому году;</w:t>
      </w:r>
    </w:p>
    <w:p w14:paraId="1B000000">
      <w:pPr>
        <w:pStyle w:val="Style_4"/>
        <w:widowControl w:val="1"/>
        <w:spacing w:after="0" w:before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прошедший период текущего года - период текущего финансового года, по которому сформирована отчетность;</w:t>
      </w:r>
    </w:p>
    <w:p w14:paraId="1C000000">
      <w:pPr>
        <w:pStyle w:val="Style_4"/>
        <w:widowControl w:val="1"/>
        <w:spacing w:after="0" w:before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расчетный год - очередной финансовый год.»;</w:t>
      </w:r>
    </w:p>
    <w:p w14:paraId="1D000000">
      <w:pPr>
        <w:pStyle w:val="Style_4"/>
        <w:widowControl w:val="1"/>
        <w:tabs>
          <w:tab w:leader="none" w:pos="708" w:val="clear"/>
          <w:tab w:leader="none" w:pos="1125" w:val="left"/>
        </w:tabs>
        <w:spacing w:after="0" w:before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4)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в подпункте 1 пункта 6 приложения к постановлению слова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«в текущем году» заменить словами «в текущем финансовом году»;</w:t>
      </w:r>
    </w:p>
    <w:p w14:paraId="1E000000">
      <w:pPr>
        <w:pStyle w:val="Style_4"/>
        <w:widowControl w:val="1"/>
        <w:tabs>
          <w:tab w:leader="none" w:pos="708" w:val="clear"/>
          <w:tab w:leader="none" w:pos="1125" w:val="left"/>
        </w:tabs>
        <w:spacing w:after="0" w:before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5)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в пункте 7</w:t>
      </w:r>
      <w:r>
        <w:rPr>
          <w:rFonts w:ascii="PT Astra Serif" w:hAnsi="PT Astra Serif"/>
          <w:color w:val="000000"/>
          <w:sz w:val="28"/>
        </w:rPr>
        <w:t xml:space="preserve"> приложения к постановлению слова «в расчетном периоде» заменить словами «в расчетном году»;</w:t>
      </w:r>
    </w:p>
    <w:p w14:paraId="1F000000">
      <w:pPr>
        <w:pStyle w:val="Style_4"/>
        <w:widowControl w:val="1"/>
        <w:tabs>
          <w:tab w:leader="none" w:pos="708" w:val="clear"/>
          <w:tab w:leader="none" w:pos="1110" w:val="left"/>
        </w:tabs>
        <w:spacing w:after="0" w:before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6)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пункт 8 приложения к постановлению изложить в следующей редакции:</w:t>
      </w:r>
    </w:p>
    <w:p w14:paraId="20000000">
      <w:pPr>
        <w:pStyle w:val="Style_4"/>
        <w:widowControl w:val="1"/>
        <w:spacing w:after="0" w:before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«8. </w:t>
      </w:r>
      <w:r>
        <w:rPr>
          <w:rFonts w:ascii="PT Astra Serif" w:hAnsi="PT Astra Serif"/>
          <w:color w:val="000000"/>
          <w:sz w:val="28"/>
          <w:highlight w:val="white"/>
        </w:rPr>
        <w:t xml:space="preserve">В текущем финансовом году в процессе исполнения бюджета города допустима корректировка прогнозируемых поступлений доходов </w:t>
      </w:r>
      <w:r>
        <w:rPr>
          <w:rFonts w:ascii="PT Astra Serif" w:hAnsi="PT Astra Serif"/>
          <w:color w:val="000000"/>
          <w:sz w:val="28"/>
          <w:highlight w:val="white"/>
        </w:rPr>
        <w:br/>
      </w:r>
      <w:r>
        <w:rPr>
          <w:rFonts w:ascii="PT Astra Serif" w:hAnsi="PT Astra Serif"/>
          <w:color w:val="000000"/>
          <w:sz w:val="28"/>
          <w:highlight w:val="white"/>
        </w:rPr>
        <w:t>и поступлений, носящих несистемный характер, в том числе с учетом их фактического поступления в бюджет города за истекшие месяцы текущего финансового года.</w:t>
      </w:r>
    </w:p>
    <w:p w14:paraId="21000000">
      <w:pPr>
        <w:pStyle w:val="Style_4"/>
        <w:widowControl w:val="1"/>
        <w:spacing w:after="0" w:before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  <w:highlight w:val="white"/>
        </w:rPr>
        <w:t>Прогнозирование поступлений доходов в плановом периоде осуществляется аналогично прогнозу на расчетный год.»;</w:t>
      </w:r>
    </w:p>
    <w:p w14:paraId="2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7)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в пункте 10 приложения к постановлению слова «усреднения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(в том числе с применением скользящей средней)» заменить словами «усреднения (с применением простой средней или скользящей средней)»;</w:t>
      </w:r>
    </w:p>
    <w:p w14:paraId="2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8)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в пункте 12 приложения к постановлению слова «на очередной год» заменить словами «на очередной финансовый год»;</w:t>
      </w:r>
    </w:p>
    <w:p w14:paraId="2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 xml:space="preserve">9)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в графе 6 пункта 5 приложения № 1 к Методике прогнозирования поступлений доходов, администрируемых главными администраторами доходов бюджета города Магнитогорска, в бюджет города, утвержденной постановлением (далее </w:t>
      </w:r>
      <w:r>
        <w:rPr>
          <w:rFonts w:ascii="PT Astra Serif" w:hAnsi="PT Astra Serif"/>
          <w:color w:val="000000"/>
          <w:sz w:val="28"/>
        </w:rPr>
        <w:t>–</w:t>
      </w:r>
      <w:r>
        <w:rPr>
          <w:rFonts w:ascii="PT Astra Serif" w:hAnsi="PT Astra Serif"/>
          <w:color w:val="000000"/>
          <w:sz w:val="28"/>
        </w:rPr>
        <w:t xml:space="preserve"> Методика), слова «усреднения (в том числе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с применением скользящей средней)» заменить словами «усреднения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(с применением простой средней или скользящей средней)»;</w:t>
      </w:r>
    </w:p>
    <w:p w14:paraId="2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10) в графе 6 пункта 16 приложения № 1 к Методике слова «усреднения (в том числе с применением скользящей средней)» заменить словами «усреднения (с применением простой средней или скользящей средней)»;</w:t>
      </w:r>
    </w:p>
    <w:p w14:paraId="2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11) в графе 6 пункта 7 приложения № 2 к Методике слова «усреднения (в том числе с применением скользящей средней)» заменить словами «усреднения (с применением простой средней или скользящей средней)»;</w:t>
      </w:r>
    </w:p>
    <w:p w14:paraId="2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12) в графе 6 пункта 12 приложения № 2 к Методике слова «усреднения (в том числе с применением скользящей средней)» заменить словами «усреднения (с применением простой средней или скользящей средней)»;</w:t>
      </w:r>
    </w:p>
    <w:p w14:paraId="2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13) пункт 4 приложения №4 к Методике изложить в следующей редакции:</w:t>
      </w:r>
    </w:p>
    <w:p w14:paraId="2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10"/>
        </w:rPr>
      </w:pPr>
    </w:p>
    <w:tbl>
      <w:tblPr>
        <w:tblStyle w:val="Style_5"/>
        <w:tblW w:type="auto" w:w="0"/>
        <w:jc w:val="left"/>
        <w:tblInd w:type="dxa" w:w="8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45"/>
        <w:gridCol w:w="555"/>
        <w:gridCol w:w="1218"/>
        <w:gridCol w:w="1277"/>
        <w:gridCol w:w="1135"/>
        <w:gridCol w:w="990"/>
        <w:gridCol w:w="993"/>
        <w:gridCol w:w="1135"/>
        <w:gridCol w:w="1694"/>
      </w:tblGrid>
      <w:tr>
        <w:tc>
          <w:tcPr>
            <w:tcW w:type="dxa" w:w="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4.</w:t>
            </w:r>
          </w:p>
        </w:tc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508</w:t>
            </w:r>
          </w:p>
        </w:tc>
        <w:tc>
          <w:tcPr>
            <w:tcW w:type="dxa" w:w="12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Управление образования администрации города Магнитогорска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508 1 16 10123 01 0041 140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>униципального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образования по нормативам, действовавшим в 2019 году (доходы бюджетов городских округов за исключением доходов, направляемых на формирование м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>униципального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дорожного фонда, а также иных платежей в случае принятия решения финансовым органом м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>униципального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образования о раздельном учете задолженности)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Метод усреднения с исключением несистемных поступлений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Пштр =</w:t>
            </w:r>
          </w:p>
          <w:p w14:paraId="31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(П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>1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+ 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 xml:space="preserve">2 </w:t>
            </w:r>
            <w:r>
              <w:rPr>
                <w:rFonts w:ascii="PT Astra Serif" w:hAnsi="PT Astra Serif"/>
                <w:color w:val="000000"/>
                <w:sz w:val="16"/>
              </w:rPr>
              <w:t>+ 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 xml:space="preserve">3 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- </w:t>
            </w:r>
            <w:r>
              <w:rPr>
                <w:rFonts w:ascii="PT Astra Serif" w:hAnsi="PT Astra Serif"/>
                <w:color w:val="000000"/>
              </w:rPr>
              <w:drawing>
                <wp:inline>
                  <wp:extent cx="95250" cy="13652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7"/>
                          <a:stretch/>
                        </pic:blipFill>
                        <pic:spPr>
                          <a:xfrm flipH="false" flipV="false" rot="0">
                            <a:ext cx="95250" cy="1365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color w:val="000000"/>
                <w:sz w:val="16"/>
              </w:rPr>
              <w:t>Пнес) /3 +</w:t>
            </w:r>
            <w:r>
              <w:rPr>
                <w:rFonts w:ascii="PT Astra Serif" w:hAnsi="PT Astra Serif"/>
                <w:color w:val="000000"/>
                <w:sz w:val="16"/>
              </w:rPr>
              <w:t>Дз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Пштр =</w:t>
            </w:r>
          </w:p>
          <w:p w14:paraId="33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(П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>1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+ 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 xml:space="preserve">2 </w:t>
            </w:r>
            <w:r>
              <w:rPr>
                <w:rFonts w:ascii="PT Astra Serif" w:hAnsi="PT Astra Serif"/>
                <w:color w:val="000000"/>
                <w:sz w:val="16"/>
              </w:rPr>
              <w:t>+ 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 xml:space="preserve">3 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- </w:t>
            </w:r>
            <w:r>
              <w:rPr>
                <w:rFonts w:ascii="PT Astra Serif" w:hAnsi="PT Astra Serif"/>
                <w:color w:val="000000"/>
              </w:rPr>
              <w:drawing>
                <wp:inline>
                  <wp:extent cx="95250" cy="136525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8"/>
                          <a:stretch/>
                        </pic:blipFill>
                        <pic:spPr>
                          <a:xfrm flipH="false" flipV="false" rot="0">
                            <a:ext cx="95250" cy="1365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color w:val="000000"/>
                <w:sz w:val="16"/>
              </w:rPr>
              <w:t>Пнес) /3 +</w:t>
            </w:r>
            <w:r>
              <w:rPr>
                <w:rFonts w:ascii="PT Astra Serif" w:hAnsi="PT Astra Serif"/>
                <w:color w:val="000000"/>
                <w:sz w:val="16"/>
              </w:rPr>
              <w:t>Дз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Пштр - прогнозируемый объем поступлений в расчетном году;</w:t>
            </w:r>
          </w:p>
          <w:p w14:paraId="35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36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П 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>1</w:t>
            </w:r>
            <w:r>
              <w:rPr>
                <w:rFonts w:ascii="PT Astra Serif" w:hAnsi="PT Astra Serif"/>
                <w:color w:val="000000"/>
                <w:sz w:val="16"/>
              </w:rPr>
              <w:t>, 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 xml:space="preserve"> 2</w:t>
            </w:r>
            <w:r>
              <w:rPr>
                <w:rFonts w:ascii="PT Astra Serif" w:hAnsi="PT Astra Serif"/>
                <w:color w:val="000000"/>
                <w:sz w:val="16"/>
              </w:rPr>
              <w:t>, 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 xml:space="preserve"> 3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- фактический объем поступлений за отчетный период;</w:t>
            </w:r>
          </w:p>
          <w:p w14:paraId="37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38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drawing>
                <wp:inline>
                  <wp:extent cx="95250" cy="136525"/>
                  <wp:effectExtent b="0" l="0" r="0" t="0"/>
                  <wp:docPr hidden="false" id="5" name="Picture 5"/>
                  <a:graphic>
                    <a:graphicData uri="http://schemas.openxmlformats.org/drawingml/2006/picture">
                      <pic:pic>
                        <pic:nvPicPr>
                          <pic:cNvPr hidden="false" id="6" name="Picture 6"/>
                          <pic:cNvPicPr preferRelativeResize="true"/>
                        </pic:nvPicPr>
                        <pic:blipFill>
                          <a:blip r:embed="rId9"/>
                          <a:stretch/>
                        </pic:blipFill>
                        <pic:spPr>
                          <a:xfrm flipH="false" flipV="false" rot="0">
                            <a:ext cx="95250" cy="1365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color w:val="000000"/>
                <w:sz w:val="16"/>
              </w:rPr>
              <w:t>Пнес - суммарный объем поступлений, носящих несистемный характер, за отчетный период;</w:t>
            </w:r>
          </w:p>
          <w:p w14:paraId="39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3A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16"/>
              </w:rPr>
              <w:t>Дз – оценка ожидаемых результатов работы по взысканию задолженности по доходам</w:t>
            </w:r>
          </w:p>
        </w:tc>
      </w:tr>
    </w:tbl>
    <w:p w14:paraId="3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10"/>
        </w:rPr>
      </w:pPr>
    </w:p>
    <w:p w14:paraId="3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bookmarkStart w:id="1" w:name="_Hlk168899948"/>
      <w:bookmarkEnd w:id="1"/>
      <w:r>
        <w:rPr>
          <w:rFonts w:ascii="PT Astra Serif" w:hAnsi="PT Astra Serif"/>
          <w:color w:val="000000"/>
          <w:sz w:val="28"/>
        </w:rPr>
        <w:t>14) в графе 6 пункта 6 приложения № 4 к Методике слова «усреднения (в том числе с применением скользящей средней)» заменить словами «усреднения (с применением простой средней или скользящей средней)»;</w:t>
      </w:r>
    </w:p>
    <w:p w14:paraId="3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15) пункт 3 приложения №5 к Методике изложить в следующей редакции:</w:t>
      </w:r>
    </w:p>
    <w:p w14:paraId="3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10"/>
        </w:rPr>
      </w:pPr>
    </w:p>
    <w:tbl>
      <w:tblPr>
        <w:tblStyle w:val="Style_5"/>
        <w:tblW w:type="auto" w:w="0"/>
        <w:jc w:val="left"/>
        <w:tblInd w:type="dxa" w:w="8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405"/>
        <w:gridCol w:w="570"/>
        <w:gridCol w:w="1143"/>
        <w:gridCol w:w="1276"/>
        <w:gridCol w:w="1106"/>
        <w:gridCol w:w="1020"/>
        <w:gridCol w:w="993"/>
        <w:gridCol w:w="1135"/>
        <w:gridCol w:w="1694"/>
      </w:tblGrid>
      <w:tr>
        <w:tc>
          <w:tcPr>
            <w:tcW w:type="dxa" w:w="4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bookmarkStart w:id="2" w:name="sub_1034"/>
            <w:bookmarkStart w:id="3" w:name="_Hlk168899948_Копия_1"/>
            <w:bookmarkEnd w:id="3"/>
            <w:r>
              <w:rPr>
                <w:rFonts w:ascii="PT Astra Serif" w:hAnsi="PT Astra Serif"/>
                <w:color w:val="000000"/>
                <w:sz w:val="16"/>
              </w:rPr>
              <w:t>3.</w:t>
            </w:r>
            <w:bookmarkEnd w:id="2"/>
          </w:p>
        </w:tc>
        <w:tc>
          <w:tcPr>
            <w:tcW w:type="dxa" w:w="5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512</w:t>
            </w:r>
          </w:p>
        </w:tc>
        <w:tc>
          <w:tcPr>
            <w:tcW w:type="dxa" w:w="11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Управление культуры администрации города Магнитогорска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512 1 13 02064 04 0000 130</w:t>
            </w:r>
          </w:p>
        </w:tc>
        <w:tc>
          <w:tcPr>
            <w:tcW w:type="dxa" w:w="11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Доходы, поступающие </w:t>
            </w:r>
            <w:r>
              <w:rPr>
                <w:rFonts w:ascii="PT Astra Serif" w:hAnsi="PT Astra Serif"/>
                <w:color w:val="000000"/>
                <w:sz w:val="16"/>
              </w:rPr>
              <w:br/>
            </w:r>
            <w:r>
              <w:rPr>
                <w:rFonts w:ascii="PT Astra Serif" w:hAnsi="PT Astra Serif"/>
                <w:color w:val="000000"/>
                <w:sz w:val="16"/>
              </w:rPr>
              <w:t>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>) поступления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по договорам на возмещение расходов по оплате к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>оммунальных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услуг - метод прямого расчета;</w:t>
            </w:r>
          </w:p>
          <w:p w14:paraId="45000000">
            <w:pPr>
              <w:pStyle w:val="Style_3"/>
              <w:widowControl w:val="1"/>
              <w:spacing w:after="0" w:before="0" w:line="240" w:lineRule="auto"/>
              <w:ind w:left="125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1) Дкомп = (Начисл +/- Д)*К + Дзад</w:t>
            </w:r>
          </w:p>
          <w:p w14:paraId="47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48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49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4A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4B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1) Дкомп = (Начисл +/- Д)*К + Дзад</w:t>
            </w:r>
          </w:p>
          <w:p w14:paraId="4D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4E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4F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50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51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52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>
            <w:pPr>
              <w:pStyle w:val="Style_3"/>
              <w:widowControl w:val="1"/>
              <w:spacing w:after="0" w:before="0" w:line="240" w:lineRule="auto"/>
              <w:ind w:left="123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Дкомп - прогнозируемый объем поступлений на возмещение расходов по оплате коммунальных услуг в расчетном году;</w:t>
            </w:r>
          </w:p>
          <w:p w14:paraId="54000000">
            <w:pPr>
              <w:pStyle w:val="Style_3"/>
              <w:widowControl w:val="1"/>
              <w:spacing w:after="0" w:before="0" w:line="240" w:lineRule="auto"/>
              <w:ind w:left="123"/>
              <w:rPr>
                <w:rFonts w:ascii="PT Astra Serif" w:hAnsi="PT Astra Serif"/>
                <w:color w:val="000000"/>
                <w:sz w:val="16"/>
              </w:rPr>
            </w:pPr>
          </w:p>
          <w:p w14:paraId="55000000">
            <w:pPr>
              <w:pStyle w:val="Style_3"/>
              <w:widowControl w:val="1"/>
              <w:spacing w:after="0" w:before="0" w:line="240" w:lineRule="auto"/>
              <w:ind w:left="123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Начисл - сумма начислений, ожидаемая к поступлению в расчетном году;</w:t>
            </w:r>
          </w:p>
          <w:p w14:paraId="56000000">
            <w:pPr>
              <w:pStyle w:val="Style_3"/>
              <w:widowControl w:val="1"/>
              <w:spacing w:after="0" w:before="0" w:line="240" w:lineRule="auto"/>
              <w:ind w:left="123"/>
              <w:rPr>
                <w:rFonts w:ascii="PT Astra Serif" w:hAnsi="PT Astra Serif"/>
                <w:color w:val="000000"/>
                <w:sz w:val="16"/>
              </w:rPr>
            </w:pPr>
          </w:p>
          <w:p w14:paraId="57000000">
            <w:pPr>
              <w:pStyle w:val="Style_3"/>
              <w:widowControl w:val="1"/>
              <w:spacing w:after="0" w:before="0" w:line="240" w:lineRule="auto"/>
              <w:ind w:left="123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 - сумма прогнозируемых дополнительных (выпадающих) доходов, связанных с заключением новых договоров в расчетном периоде или истечения срока действия ранее заключенных договоров;</w:t>
            </w:r>
          </w:p>
          <w:p w14:paraId="58000000">
            <w:pPr>
              <w:pStyle w:val="Style_3"/>
              <w:widowControl w:val="1"/>
              <w:spacing w:after="0" w:before="0" w:line="240" w:lineRule="auto"/>
              <w:ind w:left="123"/>
              <w:rPr>
                <w:rFonts w:ascii="PT Astra Serif" w:hAnsi="PT Astra Serif"/>
                <w:color w:val="000000"/>
                <w:sz w:val="16"/>
              </w:rPr>
            </w:pPr>
          </w:p>
          <w:p w14:paraId="59000000">
            <w:pPr>
              <w:pStyle w:val="Style_3"/>
              <w:widowControl w:val="1"/>
              <w:spacing w:after="0" w:before="0" w:line="240" w:lineRule="auto"/>
              <w:ind w:left="123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К - коэффициент, учитывающий изменение цен на жилищно-коммунальные услуги, согласованный с управлением экономики и инвестиций;</w:t>
            </w:r>
          </w:p>
          <w:p w14:paraId="5A000000">
            <w:pPr>
              <w:pStyle w:val="Style_3"/>
              <w:widowControl w:val="1"/>
              <w:spacing w:after="0" w:before="0" w:line="240" w:lineRule="auto"/>
              <w:ind w:left="123"/>
              <w:rPr>
                <w:rFonts w:ascii="PT Astra Serif" w:hAnsi="PT Astra Serif"/>
                <w:color w:val="000000"/>
                <w:sz w:val="16"/>
              </w:rPr>
            </w:pPr>
          </w:p>
          <w:p w14:paraId="5B000000">
            <w:pPr>
              <w:pStyle w:val="Style_3"/>
              <w:widowControl w:val="1"/>
              <w:spacing w:after="0" w:before="0" w:line="240" w:lineRule="auto"/>
              <w:ind w:left="123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Дзад - сумма дебиторской задолженности на последнюю отчетную дату прошедшего периода текущего года.</w:t>
            </w:r>
          </w:p>
        </w:tc>
      </w:tr>
      <w:tr>
        <w:tc>
          <w:tcPr>
            <w:tcW w:type="dxa" w:w="4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5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11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11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>) поступления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по прочим договорам на возмещение расходов по оплате услуг по содержанию и ремонту общего имущества, взносов на капитальный ремонт, пультовой охраны, технического обслуживания технических средств охранной сигнализации и других расходов по эксплуатации имущества - метод прямого расчета.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2) Дкомп пр = Начисл +/- Д + Дзад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2) Дкомп пр = Начисл +/- Д + Дзад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>
            <w:pPr>
              <w:pStyle w:val="Style_3"/>
              <w:widowControl w:val="1"/>
              <w:spacing w:after="0" w:before="0" w:line="240" w:lineRule="auto"/>
              <w:ind w:left="123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2) Дкомп пр - прогнозируемый объем поступлений на возмещение расходов по прочим договорам в расчетном году;</w:t>
            </w:r>
          </w:p>
          <w:p w14:paraId="60000000">
            <w:pPr>
              <w:pStyle w:val="Style_3"/>
              <w:widowControl w:val="1"/>
              <w:spacing w:after="0" w:before="0" w:line="240" w:lineRule="auto"/>
              <w:ind w:left="123"/>
              <w:rPr>
                <w:rFonts w:ascii="PT Astra Serif" w:hAnsi="PT Astra Serif"/>
                <w:color w:val="000000"/>
                <w:sz w:val="16"/>
              </w:rPr>
            </w:pPr>
          </w:p>
          <w:p w14:paraId="61000000">
            <w:pPr>
              <w:pStyle w:val="Style_3"/>
              <w:widowControl w:val="1"/>
              <w:spacing w:after="0" w:before="0" w:line="240" w:lineRule="auto"/>
              <w:ind w:left="123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Начисл - сумма начислений, ожидаемая к поступлению в расчетном году;</w:t>
            </w:r>
          </w:p>
          <w:p w14:paraId="62000000">
            <w:pPr>
              <w:pStyle w:val="Style_3"/>
              <w:widowControl w:val="1"/>
              <w:spacing w:after="0" w:before="0" w:line="240" w:lineRule="auto"/>
              <w:ind w:left="123"/>
              <w:rPr>
                <w:rFonts w:ascii="PT Astra Serif" w:hAnsi="PT Astra Serif"/>
                <w:color w:val="000000"/>
                <w:sz w:val="16"/>
              </w:rPr>
            </w:pPr>
          </w:p>
          <w:p w14:paraId="63000000">
            <w:pPr>
              <w:pStyle w:val="Style_3"/>
              <w:widowControl w:val="1"/>
              <w:spacing w:after="0" w:before="0" w:line="240" w:lineRule="auto"/>
              <w:ind w:left="123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 - сумма прогнозируемых дополнительных (выпадающих) доходов, связанных с заключением новых договоров в расчетном периоде или истечения срока действия ранее заключенных договоров;</w:t>
            </w:r>
          </w:p>
          <w:p w14:paraId="64000000">
            <w:pPr>
              <w:pStyle w:val="Style_3"/>
              <w:widowControl w:val="1"/>
              <w:spacing w:after="0" w:before="0" w:line="240" w:lineRule="auto"/>
              <w:ind w:left="123"/>
              <w:rPr>
                <w:rFonts w:ascii="PT Astra Serif" w:hAnsi="PT Astra Serif"/>
                <w:color w:val="000000"/>
                <w:sz w:val="16"/>
              </w:rPr>
            </w:pPr>
          </w:p>
          <w:p w14:paraId="65000000">
            <w:pPr>
              <w:pStyle w:val="Style_3"/>
              <w:widowControl w:val="1"/>
              <w:spacing w:after="0" w:before="0" w:line="240" w:lineRule="auto"/>
              <w:ind w:left="123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Дзад - сумма дебиторской задолженности на последнюю отчетную дату прошедшего периода текущего года</w:t>
            </w:r>
          </w:p>
        </w:tc>
      </w:tr>
    </w:tbl>
    <w:p w14:paraId="6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10"/>
        </w:rPr>
      </w:pPr>
    </w:p>
    <w:p w14:paraId="6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bookmarkStart w:id="4" w:name="_Hlk167458849"/>
      <w:r>
        <w:rPr>
          <w:rFonts w:ascii="PT Astra Serif" w:hAnsi="PT Astra Serif"/>
          <w:color w:val="000000"/>
          <w:sz w:val="28"/>
        </w:rPr>
        <w:t>16) пункт 8 приложения №5 к Методике изложить в следующей редакции:</w:t>
      </w:r>
      <w:bookmarkEnd w:id="4"/>
    </w:p>
    <w:p w14:paraId="6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10"/>
        </w:rPr>
      </w:pPr>
    </w:p>
    <w:tbl>
      <w:tblPr>
        <w:tblStyle w:val="Style_5"/>
        <w:tblW w:type="auto" w:w="0"/>
        <w:jc w:val="left"/>
        <w:tblInd w:type="dxa" w:w="7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0"/>
        <w:gridCol w:w="510"/>
        <w:gridCol w:w="1245"/>
        <w:gridCol w:w="1185"/>
        <w:gridCol w:w="1140"/>
        <w:gridCol w:w="990"/>
        <w:gridCol w:w="990"/>
        <w:gridCol w:w="1125"/>
        <w:gridCol w:w="1704"/>
      </w:tblGrid>
      <w:t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8.</w:t>
            </w:r>
          </w:p>
        </w:tc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512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Управление культуры 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>администрации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города 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>Магнитогорска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512 1 17 01040 04 0000 180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1"/>
              <w:spacing w:after="0" w:before="0" w:line="240" w:lineRule="auto"/>
              <w:ind w:firstLine="0" w:left="-57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6"/>
                <w:sz w:val="16"/>
              </w:rPr>
              <w:t>Невыясненные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поступления, зачисляемые в бюджеты городских окру</w:t>
            </w:r>
            <w:r>
              <w:rPr>
                <w:rFonts w:ascii="PT Astra Serif" w:hAnsi="PT Astra Serif"/>
                <w:color w:val="000000"/>
                <w:sz w:val="16"/>
              </w:rPr>
              <w:t>г</w:t>
            </w:r>
            <w:r>
              <w:rPr>
                <w:rFonts w:ascii="PT Astra Serif" w:hAnsi="PT Astra Serif"/>
                <w:color w:val="000000"/>
                <w:sz w:val="16"/>
              </w:rPr>
              <w:t>ов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Метод целевого ориентира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Пнев = ЦО</w:t>
            </w:r>
          </w:p>
        </w:tc>
        <w:tc>
          <w:tcPr>
            <w:tcW w:type="dxa" w:w="1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Пнев = ЦО</w:t>
            </w:r>
          </w:p>
        </w:tc>
        <w:tc>
          <w:tcPr>
            <w:tcW w:type="dxa" w:w="1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Пнев - прогнозируемый объем невыясненных поступлений, зачисляемых в бюджеты городских округов, в расчетном году;</w:t>
            </w:r>
          </w:p>
          <w:p w14:paraId="72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73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ЦО - целевой ориентир поступления в бюджет города невыясненных платежей.</w:t>
            </w:r>
          </w:p>
          <w:p w14:paraId="74000000">
            <w:pPr>
              <w:pStyle w:val="Style_3"/>
              <w:widowControl w:val="1"/>
              <w:spacing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К невыясненным поступлениям относятся платежи, по которым расчетные документы заполнены с нарушениями установленного порядка.</w:t>
            </w:r>
          </w:p>
          <w:p w14:paraId="75000000">
            <w:pPr>
              <w:pStyle w:val="Style_3"/>
              <w:widowControl w:val="1"/>
              <w:spacing w:after="20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Данный вид дохода служит для уточнения по назначению невыясненных платежей, зачисляемых в бюджет города. Показатель целевого ориентира (ЦО) устанавливается в размере 0</w:t>
            </w:r>
          </w:p>
        </w:tc>
      </w:tr>
    </w:tbl>
    <w:p w14:paraId="7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10"/>
        </w:rPr>
      </w:pPr>
    </w:p>
    <w:p w14:paraId="7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17) в графе 6 пункта 9 приложения № 5 к Методике слова «усреднения (в том числе с применением скользящей средней)» заменить словами «усреднения (с применением простой средней или скользящей средней)»;</w:t>
      </w:r>
    </w:p>
    <w:p w14:paraId="7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18) в графе 6 пункта 4 приложения № 6 к Методике слова «усреднения (в том числе с применением скользящей средней)» заменить словами «усреднения (с применением простой средней или скользящей средней)»;</w:t>
      </w:r>
    </w:p>
    <w:p w14:paraId="7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19) пункт 2 приложения №7 к Методике изложить в следующей редакции:</w:t>
      </w:r>
    </w:p>
    <w:p w14:paraId="7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10"/>
        </w:rPr>
      </w:pPr>
    </w:p>
    <w:tbl>
      <w:tblPr>
        <w:tblStyle w:val="Style_5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0"/>
        <w:gridCol w:w="465"/>
        <w:gridCol w:w="1271"/>
        <w:gridCol w:w="1274"/>
        <w:gridCol w:w="1355"/>
        <w:gridCol w:w="774"/>
        <w:gridCol w:w="876"/>
        <w:gridCol w:w="1410"/>
        <w:gridCol w:w="1695"/>
      </w:tblGrid>
      <w:tr>
        <w:trPr>
          <w:trHeight w:hRule="atLeast" w:val="1365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bookmarkStart w:id="5" w:name="sub_1021"/>
            <w:r>
              <w:rPr>
                <w:rFonts w:ascii="PT Astra Serif" w:hAnsi="PT Astra Serif"/>
                <w:color w:val="000000"/>
                <w:sz w:val="16"/>
              </w:rPr>
              <w:t>2.</w:t>
            </w:r>
            <w:bookmarkEnd w:id="5"/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519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Комитет по управлению имуществом и земельными отношениями 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>администрации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города Магнитогорска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519 1 11 01040 04 0000 120</w:t>
            </w:r>
          </w:p>
        </w:tc>
        <w:tc>
          <w:tcPr>
            <w:tcW w:type="dxa" w:w="13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type="dxa" w:w="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Метод 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>прямого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расчета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Пакц = Начисл + 1/5*Дзад+ /- Д</w:t>
            </w:r>
          </w:p>
        </w:tc>
        <w:tc>
          <w:tcPr>
            <w:tcW w:type="dxa" w:w="14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Если доля муниципального участия в обществе 100%, то в расчете применяется сумма начислений, равная</w:t>
            </w:r>
          </w:p>
          <w:p w14:paraId="83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сумме прибыли,</w:t>
            </w:r>
          </w:p>
          <w:p w14:paraId="84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соответствии со сводным реестром  муниципальных унитарных предприятий и хозяйственных обществ со 100% долей участия администрации города Магнитогорска, планируемых перечисление части прибыли в бюджет города Магнитогорска, утвержденным постановлением администрации города в текущем году.</w:t>
            </w:r>
          </w:p>
          <w:p w14:paraId="85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86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Если</w:t>
            </w:r>
          </w:p>
          <w:p w14:paraId="87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размер доли муниципального участия в обществе меньше 100%, то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для прогноза применяется сумма начислений, равная фактическому (ожидаемому) поступлению доходов в текущем году, ч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то обусловлено отсутствием </w:t>
            </w:r>
            <w:r>
              <w:rPr>
                <w:rFonts w:ascii="PT Astra Serif" w:hAnsi="PT Astra Serif"/>
                <w:color w:val="000000"/>
                <w:sz w:val="16"/>
              </w:rPr>
              <w:t>решения о выплате дивидендов (прибыли) по итогам отчетного периода</w:t>
            </w:r>
          </w:p>
          <w:p w14:paraId="88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на момент подготовки расчетов</w:t>
            </w:r>
            <w:r>
              <w:rPr>
                <w:rFonts w:ascii="PT Astra Serif" w:hAnsi="PT Astra Serif"/>
                <w:color w:val="000000"/>
                <w:sz w:val="16"/>
              </w:rPr>
              <w:t>.</w:t>
            </w:r>
          </w:p>
        </w:tc>
        <w:tc>
          <w:tcPr>
            <w:tcW w:type="dxa" w:w="16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Пакц - прогнозируемый объем поступлений доходов в расчетном году;</w:t>
            </w:r>
          </w:p>
          <w:p w14:paraId="8A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8B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Начисл – начисления включают:</w:t>
            </w:r>
          </w:p>
          <w:p w14:paraId="8C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 фактическую или прогнозную величину чистой прибыли обществ в году, предшествующему расчетному году;</w:t>
            </w:r>
          </w:p>
          <w:p w14:paraId="8D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 размер доли чистой прибыли обществ, направляемой ими на выплату дивидендов;</w:t>
            </w:r>
          </w:p>
          <w:p w14:paraId="8E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 размер доли муниципального участия в обществе (с учетом прогнозного плана (программы) приватизации имущества, находящегося в собственности муниципального образования);</w:t>
            </w:r>
          </w:p>
          <w:p w14:paraId="8F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 период деятельности общества, за который выплачиваются дивиденды;</w:t>
            </w:r>
          </w:p>
          <w:p w14:paraId="90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91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Дзад - сумма дебиторской задолженности на последнюю отчетную дату прошедшего периода текущего года;</w:t>
            </w:r>
          </w:p>
          <w:p w14:paraId="92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93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 - сумма прогнозируемых дополнительных (выпадающих) доходов, связанных с принятым решением о реорганизации либо ликвидации АО/ООО, включением в прогнозный план (программу) приватизации муниципального имущества пакета акций АО (доли в уставном капитале ООО) в текущем году</w:t>
            </w:r>
          </w:p>
          <w:p w14:paraId="94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</w:tc>
      </w:tr>
    </w:tbl>
    <w:p w14:paraId="9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10"/>
        </w:rPr>
      </w:pPr>
    </w:p>
    <w:p w14:paraId="9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20) пункт 9 приложения №7 к Методике изложить в следующей редакции:</w:t>
      </w:r>
    </w:p>
    <w:p w14:paraId="9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10"/>
        </w:rPr>
      </w:pPr>
    </w:p>
    <w:tbl>
      <w:tblPr>
        <w:tblStyle w:val="Style_5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0"/>
        <w:gridCol w:w="465"/>
        <w:gridCol w:w="1271"/>
        <w:gridCol w:w="1219"/>
        <w:gridCol w:w="1305"/>
        <w:gridCol w:w="840"/>
        <w:gridCol w:w="915"/>
        <w:gridCol w:w="1350"/>
        <w:gridCol w:w="1600"/>
      </w:tblGrid>
      <w:tr>
        <w:trPr>
          <w:trHeight w:hRule="atLeast" w:val="10380"/>
        </w:trPr>
        <w:tc>
          <w:tcPr>
            <w:tcW w:type="dxa" w:w="3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9.</w:t>
            </w:r>
          </w:p>
        </w:tc>
        <w:tc>
          <w:tcPr>
            <w:tcW w:type="dxa" w:w="4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519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Комитет по управлению имуществом и земельными отношениями 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 xml:space="preserve">администрации </w:t>
            </w:r>
            <w:r>
              <w:rPr>
                <w:rFonts w:ascii="PT Astra Serif" w:hAnsi="PT Astra Serif"/>
                <w:color w:val="000000"/>
                <w:sz w:val="16"/>
              </w:rPr>
              <w:t>города Магнитогорска</w:t>
            </w:r>
          </w:p>
        </w:tc>
        <w:tc>
          <w:tcPr>
            <w:tcW w:type="dxa" w:w="12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519 1 11 07014 04 0000 120</w:t>
            </w:r>
          </w:p>
        </w:tc>
        <w:tc>
          <w:tcPr>
            <w:tcW w:type="dxa" w:w="13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Доходы от перечисления части прибыли, остающейся после уплаты налогов и иных обязательных платежей </w:t>
            </w:r>
            <w:r>
              <w:rPr>
                <w:rFonts w:ascii="PT Astra Serif" w:hAnsi="PT Astra Serif"/>
                <w:color w:val="000000"/>
                <w:spacing w:val="-4"/>
                <w:sz w:val="16"/>
              </w:rPr>
              <w:t xml:space="preserve">муниципальных </w:t>
            </w:r>
            <w:r>
              <w:rPr>
                <w:rFonts w:ascii="PT Astra Serif" w:hAnsi="PT Astra Serif"/>
                <w:color w:val="000000"/>
                <w:sz w:val="16"/>
              </w:rPr>
              <w:t>унитарных предприятий, созданных городскими округами</w:t>
            </w:r>
          </w:p>
        </w:tc>
        <w:tc>
          <w:tcPr>
            <w:tcW w:type="dxa" w:w="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Метод прямого расчета</w:t>
            </w:r>
          </w:p>
        </w:tc>
        <w:tc>
          <w:tcPr>
            <w:tcW w:type="dxa" w:w="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Пмуп = Начисл + 1/5*Дзад+ /- Д</w:t>
            </w:r>
          </w:p>
        </w:tc>
        <w:tc>
          <w:tcPr>
            <w:tcW w:type="dxa" w:w="13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В расчете применяется сумма начислений, равная</w:t>
            </w:r>
          </w:p>
          <w:p w14:paraId="A0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сумме прибыли, в соответствии со сводным реестром 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16"/>
              </w:rPr>
              <w:t>муниципальных унитарных предприятий и хозяйственных обществ со 100% долей участия администрации города Магнитогорска, планируемых перечисление части прибыли в бюджет города Магнитогорска, утвержденным постановлением администрации города в текущем году</w:t>
            </w:r>
          </w:p>
        </w:tc>
        <w:tc>
          <w:tcPr>
            <w:tcW w:type="dxa" w:w="16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Пмуп - прогнозируемый объем поступлений доходов в расчетном году;</w:t>
            </w:r>
          </w:p>
          <w:p w14:paraId="A2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A3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Начисл – начисления включают:</w:t>
            </w:r>
          </w:p>
          <w:p w14:paraId="A4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 фактическую или прогнозную величину чистой прибыли муниципальных унитарных предприятий в году, предшествующему расчетному году;</w:t>
            </w:r>
          </w:p>
          <w:p w14:paraId="A5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- размер доли чистой прибыли муниципальных унитарных предприятий, перечисляемой в бюджет муниципального образования, с учетом решения представительного органа муниципального образования;</w:t>
            </w:r>
          </w:p>
          <w:p w14:paraId="A6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A7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Дзад - сумма дебиторской задолженности на последнюю отчетную дату прошедшего периода текущего года;</w:t>
            </w:r>
          </w:p>
          <w:p w14:paraId="A8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A9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 - сумма прогнозируемых дополнительных (выпадающих) доходов, связанных с принятым решением о реорганизации либо ликвидации муниципального предприятия в текущем году.</w:t>
            </w:r>
          </w:p>
        </w:tc>
      </w:tr>
    </w:tbl>
    <w:p w14:paraId="A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10"/>
        </w:rPr>
      </w:pPr>
    </w:p>
    <w:p w14:paraId="A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21) подпункт 2 пункта 10 приложения №7 к Методике изложить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в следующей редакции:</w:t>
      </w:r>
    </w:p>
    <w:tbl>
      <w:tblPr>
        <w:tblStyle w:val="Style_5"/>
        <w:tblW w:type="auto" w:w="0"/>
        <w:jc w:val="left"/>
        <w:tblInd w:type="dxa" w:w="-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0"/>
        <w:gridCol w:w="510"/>
        <w:gridCol w:w="900"/>
        <w:gridCol w:w="1245"/>
        <w:gridCol w:w="1290"/>
        <w:gridCol w:w="1260"/>
        <w:gridCol w:w="867"/>
        <w:gridCol w:w="1134"/>
        <w:gridCol w:w="1699"/>
      </w:tblGrid>
      <w:tr>
        <w:trPr>
          <w:trHeight w:hRule="atLeast" w:val="6904"/>
        </w:trPr>
        <w:tc>
          <w:tcPr>
            <w:tcW w:type="dxa" w:w="45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5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90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2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2) 519 1 11 09044 04 0129 120</w:t>
            </w: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2) Прочие поступления от использования имущества, находящегося в собственности городских округов (за исключением имущества 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>муниципальных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бюджетных и автономных учреждений, а также имущества 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>муниципальных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унитарных предприятий, в том числе казенных) (плата за наем жилых помещений)</w:t>
            </w: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6"/>
                <w:sz w:val="16"/>
              </w:rPr>
              <w:t xml:space="preserve">2) поступления 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платы за наём жилых помещений, 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>находящихся в муниципальной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собственности</w:t>
            </w:r>
          </w:p>
          <w:p w14:paraId="B2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B3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B4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B5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B6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B7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B8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B9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BA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BB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BC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2) Дпл. за наём = Дпл. за наём дсн +Дпл. за наём дкн</w:t>
            </w:r>
          </w:p>
          <w:p w14:paraId="BE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  <w:p w14:paraId="B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C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C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C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C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C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C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C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C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C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C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C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  <w:p w14:paraId="C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  <w:p w14:paraId="C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  <w:p w14:paraId="C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2) Дпл. за наём = Дпл. за наём дсн +Дпл. за наём дкн</w:t>
            </w:r>
          </w:p>
          <w:p w14:paraId="C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  <w:p w14:paraId="D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D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D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D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D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D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D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D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D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D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D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D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D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D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  <w:p w14:paraId="DE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  <w:p w14:paraId="D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  <w:p w14:paraId="E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  <w:p w14:paraId="E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2) Дпл. за наём - прогнозируемый объем поступлений за наём жилых помещений в расчетном году.</w:t>
            </w:r>
          </w:p>
          <w:p w14:paraId="E3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E4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E5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E6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E7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E8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E9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EA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EB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EC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ED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EE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EF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F0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F1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</w:tc>
      </w:tr>
      <w:tr>
        <w:tc>
          <w:tcPr>
            <w:tcW w:type="dxa" w:w="4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8"/>
                <w:sz w:val="16"/>
              </w:rPr>
              <w:t>2.1) поступления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платы за наём жилых помещений по договорам социального найма, находящихся в 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>муниципальной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собственности - метод прямого расчета</w:t>
            </w:r>
          </w:p>
          <w:p w14:paraId="F5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2.1) Дпл. за наём дсн = Sдсн*Пб дсн*Ксб дсн*T+</w:t>
            </w:r>
          </w:p>
          <w:p w14:paraId="F7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1/20 Дзад дсн</w:t>
            </w:r>
          </w:p>
          <w:p w14:paraId="F8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2.1) Дпл. за наём дсн = Sдсн*Пб дсн*Ксб дсн*T+1/20 Дзад дсн</w:t>
            </w:r>
          </w:p>
          <w:p w14:paraId="FA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2.1) Дпл. за наём дсн -прогнозируемый объем поступлений по договорам социального найма жилых помещений в расчетном году;</w:t>
            </w:r>
          </w:p>
          <w:p w14:paraId="F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  <w:p w14:paraId="FD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Sдсн - площадь муниципального жилищного фонда, сдаваемая по договорам социального найма в текущем году, тыс.м2;</w:t>
            </w:r>
          </w:p>
          <w:p w14:paraId="FE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FF00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Пб дсн- базовая ставка за пользование жилыми помещениями по договорам социального найма;</w:t>
            </w:r>
          </w:p>
          <w:p w14:paraId="00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01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Ксб дсн- коэффициент сбора, который определяется как отношение фактически собранных средств к сумме начисленных средств за наём жилых помещений по договорам социального найма, находящихся в муниципальной собственности, в расчетном году;</w:t>
            </w:r>
          </w:p>
          <w:p w14:paraId="02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03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Т - количество месяцев в прогнозируемом периоде;</w:t>
            </w:r>
          </w:p>
          <w:p w14:paraId="04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05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Дзад дсн- сумма дебиторской задолженности за наём по договорам социального найма жилых помещений на последнюю отчетную дату прошедшего периода текущего года.</w:t>
            </w:r>
          </w:p>
        </w:tc>
      </w:tr>
      <w:tr>
        <w:tc>
          <w:tcPr>
            <w:tcW w:type="dxa" w:w="45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0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2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8"/>
                <w:sz w:val="16"/>
              </w:rPr>
              <w:t>2.2) поступления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платы за наём жилых помещений по договорам коммерческого найма, находящихся в 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>муниципальной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собственности - метод прямого расчета</w:t>
            </w:r>
          </w:p>
        </w:tc>
        <w:tc>
          <w:tcPr>
            <w:tcW w:type="dxa" w:w="8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2.2) Дпл. за наём дкн = Sдкн*Пб дкн*Ксб дкн*T+</w:t>
            </w:r>
          </w:p>
          <w:p w14:paraId="0A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1/20 Дзад дкн</w:t>
            </w:r>
          </w:p>
          <w:p w14:paraId="0B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1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2.2) Дпл. за наём дкн = Sдкн*Пб дкн*Ксб дкн*T+1/20 Дзад дкн</w:t>
            </w:r>
          </w:p>
          <w:p w14:paraId="0D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2.2) Дпл. за наём дкн - прогнозируемый объем поступлений за наём жилых помещений по договору коммерческого найма в расчетном году;</w:t>
            </w:r>
          </w:p>
          <w:p w14:paraId="0F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10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Sдкн- площадь муниципального жилищного фонда, сдаваемая по договорам коммерческого найма в текущем году, тыс.м2;</w:t>
            </w:r>
          </w:p>
          <w:p w14:paraId="11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16"/>
              </w:rPr>
            </w:pPr>
          </w:p>
          <w:p w14:paraId="12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Пб дкн - базовая ставка за пользование жилыми помещениями по договорам коммерческого найма;</w:t>
            </w:r>
          </w:p>
          <w:p w14:paraId="13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14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Ксб дкн- коэффициент сбора, который определяется как отношение фактически собранных средств к сумме начисленных средств за наём по договорам коммерческого найма жилых помещений, находящихся в муниципальной собственности, в расчетном году;</w:t>
            </w:r>
          </w:p>
          <w:p w14:paraId="15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</w:rPr>
            </w:pPr>
          </w:p>
          <w:p w14:paraId="16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Т - количество месяцев в прогнозируемом периоде;</w:t>
            </w:r>
          </w:p>
          <w:p w14:paraId="17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18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Дзад дкн- сумма дебиторской задолженности за наём по договорам коммерческого найма на последнюю отчетную дату прошедшего периода текущего года.</w:t>
            </w:r>
          </w:p>
          <w:p w14:paraId="19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</w:tc>
      </w:tr>
    </w:tbl>
    <w:p w14:paraId="1A01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22) пункт 23 приложения №7 к Методике изложить в следующей редакции:</w:t>
      </w:r>
    </w:p>
    <w:p w14:paraId="1B01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10"/>
        </w:rPr>
      </w:pPr>
    </w:p>
    <w:tbl>
      <w:tblPr>
        <w:tblStyle w:val="Style_5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50"/>
        <w:gridCol w:w="510"/>
        <w:gridCol w:w="1200"/>
        <w:gridCol w:w="1240"/>
        <w:gridCol w:w="1190"/>
        <w:gridCol w:w="939"/>
        <w:gridCol w:w="876"/>
        <w:gridCol w:w="1470"/>
        <w:gridCol w:w="1480"/>
      </w:tblGrid>
      <w:tr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bookmarkStart w:id="6" w:name="sub_1027"/>
            <w:r>
              <w:rPr>
                <w:rFonts w:ascii="PT Astra Serif" w:hAnsi="PT Astra Serif"/>
                <w:color w:val="000000"/>
                <w:sz w:val="16"/>
              </w:rPr>
              <w:t>23.</w:t>
            </w:r>
            <w:bookmarkEnd w:id="6"/>
          </w:p>
        </w:tc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519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Комитет по управлению имуществом и земельными отношениями администрации города 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>Магнитогорска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519 1 14 13040 04 0000 410</w:t>
            </w:r>
          </w:p>
        </w:tc>
        <w:tc>
          <w:tcPr>
            <w:tcW w:type="dxa" w:w="1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Доходы от приватизации имущества, 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 xml:space="preserve">находящегося в собственности 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городских округов, в части приватизации 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 xml:space="preserve">нефинансовых </w:t>
            </w:r>
            <w:r>
              <w:rPr>
                <w:rFonts w:ascii="PT Astra Serif" w:hAnsi="PT Astra Serif"/>
                <w:color w:val="000000"/>
                <w:sz w:val="16"/>
              </w:rPr>
              <w:t>активов имущества казны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Метод прямого расчета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Прми1 = k* Сi*Кр</w:t>
            </w:r>
          </w:p>
          <w:p w14:paraId="23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4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При отсутствии прогнозного плана (программы) приватизации имущества на момент подготовки расчетов применяются следующие показатели:</w:t>
            </w:r>
          </w:p>
          <w:p w14:paraId="25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26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k - количество объектов, включенных в прогнозный план (программу) приватизации имущества текущего года, за исключением уже проданных объектов за прошедший период текущего года;</w:t>
            </w:r>
          </w:p>
          <w:p w14:paraId="27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28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Сi - средняя рыночная стоимость (без НДС) объектов, включенных в прогнозный план (программу) приватизации имущества текущего года, определенная на основании отчетов об оценке рыночной стоимости, подготовленных на дату прогнозирования, за исключением уже проданных объектов за прошедший период текущего года;</w:t>
            </w:r>
          </w:p>
          <w:p w14:paraId="29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2A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Кр – поправочный коэффициент, принимается равный наименьшему показателю из трёх лет, предшествующему текущему году, рассчитанный ежегодно как отношение стоимости проданных объектов из</w:t>
            </w:r>
          </w:p>
          <w:p w14:paraId="2B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прогнозного плана (программы) приватизации имущества (без НДС) к стоимости объектов, включенных в прогнозный план (программу) приватизации имущества (без НДС).</w:t>
            </w:r>
          </w:p>
        </w:tc>
        <w:tc>
          <w:tcPr>
            <w:tcW w:type="dxa" w:w="14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Прми1 - прогнозируемый объем поступлений от продажи муниципального имущества в расчетном году;</w:t>
            </w:r>
          </w:p>
          <w:p w14:paraId="2D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2E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k - количество объектов, планируемых к включению в прогнозный план (программу) приватизации имущества в расчетном году;</w:t>
            </w:r>
          </w:p>
          <w:p w14:paraId="2F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30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Сi - средняя рыночная стоимость (без НДС) объектов, планируемых к включению в прогнозный план (программу) приватизации имущества в расчетном году;</w:t>
            </w:r>
          </w:p>
          <w:p w14:paraId="31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32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Кр – поправочный коэффициент, устанавливаемый к рыночной стоимости объектов, планируемых к включению в прогнозный план (программу) приватизации имущества в расчетном году в случае, если объекты ранее выставлялись на торги (продажу) и были признаны несостоявшимися.</w:t>
            </w:r>
          </w:p>
          <w:p w14:paraId="33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</w:tc>
      </w:tr>
    </w:tbl>
    <w:p w14:paraId="3401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10"/>
        </w:rPr>
      </w:pPr>
    </w:p>
    <w:p w14:paraId="3501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23) в графе 6 пункта 32 приложения № 7 к Методике слова «усреднения (в том числе с применением скользящей средней)» заменить словами «усреднения (с применением простой средней или скользящей средней)»;</w:t>
      </w:r>
    </w:p>
    <w:p w14:paraId="3601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24) пункт 7 приложения №8 к Методике изложить в следующей редакции:</w:t>
      </w:r>
    </w:p>
    <w:p w14:paraId="3701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10"/>
        </w:rPr>
      </w:pPr>
    </w:p>
    <w:tbl>
      <w:tblPr>
        <w:tblStyle w:val="Style_5"/>
        <w:tblW w:type="auto" w:w="0"/>
        <w:jc w:val="left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5"/>
        <w:gridCol w:w="510"/>
        <w:gridCol w:w="1305"/>
        <w:gridCol w:w="1230"/>
        <w:gridCol w:w="1020"/>
        <w:gridCol w:w="1200"/>
        <w:gridCol w:w="912"/>
        <w:gridCol w:w="1134"/>
        <w:gridCol w:w="1699"/>
      </w:tblGrid>
      <w:tr>
        <w:tc>
          <w:tcPr>
            <w:tcW w:type="dxa" w:w="3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7.</w:t>
            </w:r>
          </w:p>
        </w:tc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521</w:t>
            </w:r>
          </w:p>
        </w:tc>
        <w:tc>
          <w:tcPr>
            <w:tcW w:type="dxa" w:w="13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pStyle w:val="Style_3"/>
              <w:widowControl w:val="1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Управление транспорта и коммунального хозяйства администрации города Магнитогорска</w:t>
            </w:r>
          </w:p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3"/>
              <w:widowControl w:val="1"/>
              <w:spacing w:after="200" w:before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1) 521 1 13 02994 04 0134 130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pStyle w:val="Style_3"/>
              <w:widowControl w:val="1"/>
              <w:spacing w:after="200" w:before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1) Прочие доходы от </w:t>
            </w:r>
            <w:r>
              <w:rPr>
                <w:rFonts w:ascii="PT Astra Serif" w:hAnsi="PT Astra Serif"/>
                <w:color w:val="000000"/>
                <w:spacing w:val="-10"/>
                <w:sz w:val="16"/>
              </w:rPr>
              <w:t>компенсации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 xml:space="preserve"> з</w:t>
            </w:r>
            <w:r>
              <w:rPr>
                <w:rFonts w:ascii="PT Astra Serif" w:hAnsi="PT Astra Serif"/>
                <w:color w:val="000000"/>
                <w:sz w:val="16"/>
              </w:rPr>
              <w:t>атрат бюджетов городских округов (прочие доходы от компенсации затрат)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3"/>
              <w:widowControl w:val="1"/>
              <w:spacing w:after="200" w:before="0" w:line="276" w:lineRule="auto"/>
              <w:ind w:firstLine="0" w:left="0" w:right="0"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10"/>
                <w:sz w:val="16"/>
              </w:rPr>
              <w:t>1) Поступления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прочих доходов от   компенсации затрат  бюджета города-  метод 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 xml:space="preserve">усреднения с </w:t>
            </w:r>
            <w:r>
              <w:rPr>
                <w:rFonts w:ascii="PT Astra Serif" w:hAnsi="PT Astra Serif"/>
                <w:color w:val="000000"/>
                <w:spacing w:val="-8"/>
                <w:sz w:val="16"/>
              </w:rPr>
              <w:t>исключением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 xml:space="preserve"> несистемных поступлений</w:t>
            </w:r>
          </w:p>
        </w:tc>
        <w:tc>
          <w:tcPr>
            <w:tcW w:type="dxa" w:w="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pStyle w:val="Style_3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1)  Пкомп = (П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>1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+ 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 xml:space="preserve">2 </w:t>
            </w:r>
            <w:r>
              <w:rPr>
                <w:rFonts w:ascii="PT Astra Serif" w:hAnsi="PT Astra Serif"/>
                <w:color w:val="000000"/>
                <w:sz w:val="16"/>
              </w:rPr>
              <w:t>+ 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 xml:space="preserve">3 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- </w:t>
            </w:r>
            <w:r>
              <w:rPr>
                <w:rFonts w:ascii="PT Astra Serif" w:hAnsi="PT Astra Serif"/>
                <w:color w:val="000000"/>
              </w:rPr>
              <w:drawing>
                <wp:inline>
                  <wp:extent cx="95250" cy="136525"/>
                  <wp:effectExtent b="0" l="0" r="0" t="0"/>
                  <wp:docPr hidden="false" id="7" name="Picture 7"/>
                  <a:graphic>
                    <a:graphicData uri="http://schemas.openxmlformats.org/drawingml/2006/picture">
                      <pic:pic>
                        <pic:nvPicPr>
                          <pic:cNvPr hidden="false" id="8" name="Picture 8"/>
                          <pic:cNvPicPr preferRelativeResize="true"/>
                        </pic:nvPicPr>
                        <pic:blipFill>
                          <a:blip r:embed="rId7"/>
                          <a:stretch/>
                        </pic:blipFill>
                        <pic:spPr>
                          <a:xfrm flipH="false" flipV="false" rot="0">
                            <a:ext cx="95250" cy="1365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color w:val="000000"/>
                <w:sz w:val="16"/>
              </w:rPr>
              <w:t>Пнес) /3 +</w:t>
            </w:r>
            <w:r>
              <w:rPr>
                <w:rFonts w:ascii="PT Astra Serif" w:hAnsi="PT Astra Serif"/>
                <w:color w:val="000000"/>
                <w:sz w:val="16"/>
              </w:rPr>
              <w:t>Дз</w:t>
            </w:r>
          </w:p>
          <w:p w14:paraId="3F010000">
            <w:pPr>
              <w:pStyle w:val="Style_3"/>
              <w:rPr>
                <w:rFonts w:ascii="PT Astra Serif" w:hAnsi="PT Astra Serif"/>
                <w:color w:val="000000"/>
                <w:sz w:val="16"/>
              </w:rPr>
            </w:pPr>
          </w:p>
          <w:p w14:paraId="40010000">
            <w:pPr>
              <w:pStyle w:val="Style_3"/>
              <w:rPr>
                <w:rFonts w:ascii="PT Astra Serif" w:hAnsi="PT Astra Serif"/>
                <w:color w:val="000000"/>
                <w:sz w:val="16"/>
              </w:rPr>
            </w:pPr>
          </w:p>
          <w:p w14:paraId="41010000">
            <w:pPr>
              <w:pStyle w:val="Style_3"/>
              <w:rPr>
                <w:rFonts w:ascii="PT Astra Serif" w:hAnsi="PT Astra Serif"/>
                <w:color w:val="000000"/>
                <w:sz w:val="16"/>
              </w:rPr>
            </w:pPr>
          </w:p>
          <w:p w14:paraId="42010000">
            <w:pPr>
              <w:pStyle w:val="Style_3"/>
              <w:rPr>
                <w:rFonts w:ascii="PT Astra Serif" w:hAnsi="PT Astra Serif"/>
                <w:color w:val="000000"/>
                <w:sz w:val="16"/>
              </w:rPr>
            </w:pPr>
          </w:p>
          <w:p w14:paraId="43010000">
            <w:pPr>
              <w:pStyle w:val="Style_3"/>
              <w:rPr>
                <w:rFonts w:ascii="PT Astra Serif" w:hAnsi="PT Astra Serif"/>
                <w:color w:val="000000"/>
                <w:sz w:val="16"/>
              </w:rPr>
            </w:pPr>
          </w:p>
          <w:p w14:paraId="44010000">
            <w:pPr>
              <w:pStyle w:val="Style_3"/>
              <w:rPr>
                <w:rFonts w:ascii="PT Astra Serif" w:hAnsi="PT Astra Serif"/>
                <w:color w:val="000000"/>
                <w:sz w:val="16"/>
              </w:rPr>
            </w:pPr>
          </w:p>
          <w:p w14:paraId="45010000">
            <w:pPr>
              <w:pStyle w:val="Style_3"/>
              <w:widowControl w:val="1"/>
              <w:spacing w:after="200" w:before="0"/>
              <w:ind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3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1) Пкомп = (П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>1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+ 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 xml:space="preserve">2 </w:t>
            </w:r>
            <w:r>
              <w:rPr>
                <w:rFonts w:ascii="PT Astra Serif" w:hAnsi="PT Astra Serif"/>
                <w:color w:val="000000"/>
                <w:sz w:val="16"/>
              </w:rPr>
              <w:t>+ 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 xml:space="preserve">3 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- </w:t>
            </w:r>
            <w:r>
              <w:rPr>
                <w:rFonts w:ascii="PT Astra Serif" w:hAnsi="PT Astra Serif"/>
                <w:color w:val="000000"/>
              </w:rPr>
              <w:drawing>
                <wp:inline>
                  <wp:extent cx="95250" cy="136525"/>
                  <wp:effectExtent b="0" l="0" r="0" t="0"/>
                  <wp:docPr hidden="false" id="9" name="Picture 9"/>
                  <a:graphic>
                    <a:graphicData uri="http://schemas.openxmlformats.org/drawingml/2006/picture">
                      <pic:pic>
                        <pic:nvPicPr>
                          <pic:cNvPr hidden="false" id="10" name="Picture 10"/>
                          <pic:cNvPicPr preferRelativeResize="true"/>
                        </pic:nvPicPr>
                        <pic:blipFill>
                          <a:blip r:embed="rId7"/>
                          <a:stretch/>
                        </pic:blipFill>
                        <pic:spPr>
                          <a:xfrm flipH="false" flipV="false" rot="0">
                            <a:ext cx="95250" cy="1365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color w:val="000000"/>
                <w:sz w:val="16"/>
              </w:rPr>
              <w:t>Пнес) /3 +</w:t>
            </w:r>
            <w:r>
              <w:rPr>
                <w:rFonts w:ascii="PT Astra Serif" w:hAnsi="PT Astra Serif"/>
                <w:color w:val="000000"/>
                <w:sz w:val="16"/>
              </w:rPr>
              <w:t>Дз</w:t>
            </w:r>
          </w:p>
          <w:p w14:paraId="47010000">
            <w:pPr>
              <w:pStyle w:val="Style_3"/>
              <w:rPr>
                <w:rFonts w:ascii="PT Astra Serif" w:hAnsi="PT Astra Serif"/>
                <w:color w:val="000000"/>
                <w:sz w:val="16"/>
              </w:rPr>
            </w:pPr>
          </w:p>
          <w:p w14:paraId="48010000">
            <w:pPr>
              <w:pStyle w:val="Style_3"/>
              <w:rPr>
                <w:rFonts w:ascii="PT Astra Serif" w:hAnsi="PT Astra Serif"/>
                <w:color w:val="000000"/>
                <w:sz w:val="16"/>
              </w:rPr>
            </w:pPr>
          </w:p>
          <w:p w14:paraId="49010000">
            <w:pPr>
              <w:pStyle w:val="Style_3"/>
              <w:rPr>
                <w:rFonts w:ascii="PT Astra Serif" w:hAnsi="PT Astra Serif"/>
                <w:color w:val="000000"/>
                <w:sz w:val="16"/>
              </w:rPr>
            </w:pPr>
          </w:p>
          <w:p w14:paraId="4A010000">
            <w:pPr>
              <w:pStyle w:val="Style_3"/>
              <w:rPr>
                <w:rFonts w:ascii="PT Astra Serif" w:hAnsi="PT Astra Serif"/>
                <w:color w:val="000000"/>
                <w:sz w:val="16"/>
              </w:rPr>
            </w:pPr>
          </w:p>
          <w:p w14:paraId="4B010000">
            <w:pPr>
              <w:pStyle w:val="Style_3"/>
              <w:rPr>
                <w:rFonts w:ascii="PT Astra Serif" w:hAnsi="PT Astra Serif"/>
                <w:color w:val="000000"/>
                <w:sz w:val="16"/>
              </w:rPr>
            </w:pPr>
          </w:p>
          <w:p w14:paraId="4C010000">
            <w:pPr>
              <w:pStyle w:val="Style_3"/>
              <w:rPr>
                <w:rFonts w:ascii="PT Astra Serif" w:hAnsi="PT Astra Serif"/>
                <w:color w:val="000000"/>
                <w:sz w:val="16"/>
              </w:rPr>
            </w:pPr>
          </w:p>
          <w:p w14:paraId="4D010000">
            <w:pPr>
              <w:pStyle w:val="Style_3"/>
              <w:rPr>
                <w:rFonts w:ascii="PT Astra Serif" w:hAnsi="PT Astra Serif"/>
                <w:color w:val="000000"/>
                <w:sz w:val="16"/>
              </w:rPr>
            </w:pPr>
          </w:p>
          <w:p w14:paraId="4E010000">
            <w:pPr>
              <w:pStyle w:val="Style_3"/>
              <w:rPr>
                <w:rFonts w:ascii="PT Astra Serif" w:hAnsi="PT Astra Serif"/>
                <w:color w:val="000000"/>
                <w:sz w:val="16"/>
              </w:rPr>
            </w:pPr>
          </w:p>
          <w:p w14:paraId="4F010000">
            <w:pPr>
              <w:pStyle w:val="Style_3"/>
              <w:widowControl w:val="1"/>
              <w:spacing w:after="200" w:before="0"/>
              <w:ind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3"/>
              <w:widowControl w:val="1"/>
              <w:spacing w:after="0" w:before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1) Пкомп - прогнозируемый объем поступлений в расчетном году;</w:t>
            </w:r>
          </w:p>
          <w:p w14:paraId="51010000">
            <w:pPr>
              <w:pStyle w:val="Style_3"/>
              <w:widowControl w:val="1"/>
              <w:spacing w:after="0" w:before="0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52010000">
            <w:pPr>
              <w:pStyle w:val="Style_3"/>
              <w:widowControl w:val="1"/>
              <w:spacing w:after="0" w:before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П 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>1</w:t>
            </w:r>
            <w:r>
              <w:rPr>
                <w:rFonts w:ascii="PT Astra Serif" w:hAnsi="PT Astra Serif"/>
                <w:color w:val="000000"/>
                <w:sz w:val="16"/>
              </w:rPr>
              <w:t>, 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 xml:space="preserve"> 2</w:t>
            </w:r>
            <w:r>
              <w:rPr>
                <w:rFonts w:ascii="PT Astra Serif" w:hAnsi="PT Astra Serif"/>
                <w:color w:val="000000"/>
                <w:sz w:val="16"/>
              </w:rPr>
              <w:t>, 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 xml:space="preserve"> 3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-</w:t>
            </w:r>
            <w:bookmarkStart w:id="7" w:name="_GoBack"/>
            <w:bookmarkEnd w:id="7"/>
            <w:r>
              <w:rPr>
                <w:rFonts w:ascii="PT Astra Serif" w:hAnsi="PT Astra Serif"/>
                <w:color w:val="000000"/>
                <w:sz w:val="16"/>
              </w:rPr>
              <w:t>фактический объем поступлений за отчетный период;</w:t>
            </w:r>
          </w:p>
          <w:p w14:paraId="53010000">
            <w:pPr>
              <w:pStyle w:val="Style_3"/>
              <w:widowControl w:val="1"/>
              <w:spacing w:after="0" w:before="0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54010000">
            <w:pPr>
              <w:pStyle w:val="Style_3"/>
              <w:widowControl w:val="1"/>
              <w:spacing w:after="0" w:before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∑</w:t>
            </w:r>
            <w:r>
              <w:rPr>
                <w:rFonts w:ascii="PT Astra Serif" w:hAnsi="PT Astra Serif"/>
                <w:color w:val="000000"/>
                <w:sz w:val="16"/>
              </w:rPr>
              <w:t>Пнес - суммарный объем поступлений, носящих несистемный характер, за отчетный период;</w:t>
            </w:r>
          </w:p>
          <w:p w14:paraId="55010000">
            <w:pPr>
              <w:pStyle w:val="Style_3"/>
              <w:widowControl w:val="1"/>
              <w:spacing w:after="0" w:before="0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56010000">
            <w:pPr>
              <w:pStyle w:val="Style_3"/>
              <w:widowControl w:val="1"/>
              <w:spacing w:after="0" w:before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16"/>
              </w:rPr>
              <w:t>Дз – оценка ожидаемых результатов работы по взысканию задолженности по доходам</w:t>
            </w:r>
          </w:p>
        </w:tc>
      </w:tr>
      <w:tr>
        <w:tc>
          <w:tcPr>
            <w:tcW w:type="dxa" w:w="3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pStyle w:val="Style_3"/>
              <w:widowControl w:val="1"/>
              <w:spacing w:after="200" w:before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2) 521 1 13 02994 04 0136 130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3"/>
              <w:widowControl w:val="1"/>
              <w:spacing w:after="200" w:before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2) Прочие доходы от компенсации затрат бюджетов городских округов (доходы бюджета от возврата 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>дебиторской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задолженности прошлых лет)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3"/>
              <w:widowControl w:val="1"/>
              <w:spacing w:after="200" w:before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10"/>
                <w:sz w:val="16"/>
              </w:rPr>
              <w:t>2) Поступления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доходов от возврата дебиторской задолженности прошлых лет от компенсации затрат местного бюджета-  метод целевого ориентира</w:t>
            </w:r>
          </w:p>
        </w:tc>
        <w:tc>
          <w:tcPr>
            <w:tcW w:type="dxa" w:w="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pStyle w:val="Style_3"/>
              <w:widowControl w:val="1"/>
              <w:spacing w:after="200" w:before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2) Пдеб = ЦО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pStyle w:val="Style_3"/>
              <w:widowControl w:val="1"/>
              <w:spacing w:after="200" w:before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2) Пдеб = ЦО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pStyle w:val="Style_3"/>
              <w:widowControl w:val="1"/>
              <w:spacing w:after="0" w:before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3) Пдеб - прогнозируемый объем доходов бюджета от возврата дебиторской задолженности прошлых лет;</w:t>
            </w:r>
          </w:p>
          <w:p w14:paraId="5D010000">
            <w:pPr>
              <w:pStyle w:val="Style_3"/>
              <w:widowControl w:val="1"/>
              <w:spacing w:after="0" w:before="0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5E010000">
            <w:pPr>
              <w:pStyle w:val="Style_3"/>
              <w:widowControl w:val="1"/>
              <w:spacing w:after="0" w:before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ЦО – ожидаемый результат работы по взысканию задолженности в бюджет города (тыс.руб.)</w:t>
            </w:r>
          </w:p>
        </w:tc>
      </w:tr>
      <w:tr>
        <w:tc>
          <w:tcPr>
            <w:tcW w:type="dxa" w:w="3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3) 521 1 13 02994 04 0434 130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3) Прочие доходы от компенсации затрат бюджетов городских округов (доходы от </w:t>
            </w:r>
            <w:r>
              <w:rPr>
                <w:rFonts w:ascii="PT Astra Serif" w:hAnsi="PT Astra Serif"/>
                <w:color w:val="000000"/>
                <w:spacing w:val="-6"/>
                <w:sz w:val="16"/>
              </w:rPr>
              <w:t>возмещения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затрат за услуги по </w:t>
            </w:r>
            <w:r>
              <w:rPr>
                <w:rFonts w:ascii="PT Astra Serif" w:hAnsi="PT Astra Serif"/>
                <w:color w:val="000000"/>
                <w:spacing w:val="-8"/>
                <w:sz w:val="16"/>
              </w:rPr>
              <w:t>погребению)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8"/>
                <w:sz w:val="16"/>
              </w:rPr>
              <w:t xml:space="preserve">3) Поступление </w:t>
            </w:r>
            <w:r>
              <w:rPr>
                <w:rFonts w:ascii="PT Astra Serif" w:hAnsi="PT Astra Serif"/>
                <w:color w:val="000000"/>
                <w:sz w:val="16"/>
              </w:rPr>
              <w:t>доходов от возмещения затрат за услуги по погребению - метод прямого расчета.</w:t>
            </w:r>
          </w:p>
        </w:tc>
        <w:tc>
          <w:tcPr>
            <w:tcW w:type="dxa" w:w="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3) Пз = К*С</w:t>
            </w:r>
          </w:p>
          <w:p w14:paraId="63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3) В расчете применяется показатель К- прогнозируемое количество захоронений, принимаемый равным среднему значению за три года, предшествующих текущему году.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3) Пз - прогнозируемый объем поступлений на планируемый период;</w:t>
            </w:r>
          </w:p>
          <w:p w14:paraId="66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67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К - прогнозируемое количество захоронений в расчетном году;</w:t>
            </w:r>
          </w:p>
          <w:p w14:paraId="68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  <w:p w14:paraId="69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С - стоимость услуг по погребению, утвержденная нормативно-правовым актом города Магнитогорска</w:t>
            </w:r>
          </w:p>
          <w:p w14:paraId="6A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</w:p>
        </w:tc>
      </w:tr>
      <w:tr>
        <w:tc>
          <w:tcPr>
            <w:tcW w:type="dxa" w:w="3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4) 521 1 13 02994 04 0534 130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4) Прочие доходы от компенсации затрат бюджетов городских округов (доходы от </w:t>
            </w:r>
            <w:r>
              <w:rPr>
                <w:rFonts w:ascii="PT Astra Serif" w:hAnsi="PT Astra Serif"/>
                <w:color w:val="000000"/>
                <w:spacing w:val="-8"/>
                <w:sz w:val="16"/>
              </w:rPr>
              <w:t xml:space="preserve">возмещения </w:t>
            </w:r>
            <w:r>
              <w:rPr>
                <w:rFonts w:ascii="PT Astra Serif" w:hAnsi="PT Astra Serif"/>
                <w:color w:val="000000"/>
                <w:sz w:val="16"/>
              </w:rPr>
              <w:t>затрат за перемещение СИМ)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pacing w:val="-8"/>
                <w:sz w:val="16"/>
              </w:rPr>
              <w:t>4) Поступление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доходов от возмещения затрат за перемещение СИМ -  метод усреднения с исключением несистемных поступлений</w:t>
            </w:r>
          </w:p>
        </w:tc>
        <w:tc>
          <w:tcPr>
            <w:tcW w:type="dxa" w:w="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4)  Псим = (П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>1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+ 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 xml:space="preserve">2 </w:t>
            </w:r>
            <w:r>
              <w:rPr>
                <w:rFonts w:ascii="PT Astra Serif" w:hAnsi="PT Astra Serif"/>
                <w:color w:val="000000"/>
                <w:sz w:val="16"/>
              </w:rPr>
              <w:t>+ 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 xml:space="preserve">3 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- </w:t>
            </w:r>
            <w:r>
              <w:rPr>
                <w:rFonts w:ascii="PT Astra Serif" w:hAnsi="PT Astra Serif"/>
                <w:color w:val="000000"/>
              </w:rPr>
              <w:drawing>
                <wp:inline>
                  <wp:extent cx="95250" cy="136525"/>
                  <wp:effectExtent b="0" l="0" r="0" t="0"/>
                  <wp:docPr hidden="false" id="11" name="Picture 11"/>
                  <a:graphic>
                    <a:graphicData uri="http://schemas.openxmlformats.org/drawingml/2006/picture">
                      <pic:pic>
                        <pic:nvPicPr>
                          <pic:cNvPr hidden="false" id="12" name="Picture 12"/>
                          <pic:cNvPicPr preferRelativeResize="true"/>
                        </pic:nvPicPr>
                        <pic:blipFill>
                          <a:blip r:embed="rId7"/>
                          <a:stretch/>
                        </pic:blipFill>
                        <pic:spPr>
                          <a:xfrm flipH="false" flipV="false" rot="0">
                            <a:ext cx="95250" cy="1365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color w:val="000000"/>
                <w:sz w:val="16"/>
              </w:rPr>
              <w:t>Пнес) /3 +</w:t>
            </w:r>
            <w:r>
              <w:rPr>
                <w:rFonts w:ascii="PT Astra Serif" w:hAnsi="PT Astra Serif"/>
                <w:color w:val="000000"/>
                <w:sz w:val="16"/>
              </w:rPr>
              <w:t>Дз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4) Псим = (П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>1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+ 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 xml:space="preserve">2 </w:t>
            </w:r>
            <w:r>
              <w:rPr>
                <w:rFonts w:ascii="PT Astra Serif" w:hAnsi="PT Astra Serif"/>
                <w:color w:val="000000"/>
                <w:sz w:val="16"/>
              </w:rPr>
              <w:t>+ 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 xml:space="preserve">3 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- </w:t>
            </w:r>
            <w:r>
              <w:rPr>
                <w:rFonts w:ascii="PT Astra Serif" w:hAnsi="PT Astra Serif"/>
                <w:color w:val="000000"/>
              </w:rPr>
              <w:drawing>
                <wp:inline>
                  <wp:extent cx="95250" cy="136525"/>
                  <wp:effectExtent b="0" l="0" r="0" t="0"/>
                  <wp:docPr hidden="false" id="13" name="Picture 13"/>
                  <a:graphic>
                    <a:graphicData uri="http://schemas.openxmlformats.org/drawingml/2006/picture">
                      <pic:pic>
                        <pic:nvPicPr>
                          <pic:cNvPr hidden="false" id="14" name="Picture 14"/>
                          <pic:cNvPicPr preferRelativeResize="true"/>
                        </pic:nvPicPr>
                        <pic:blipFill>
                          <a:blip r:embed="rId7"/>
                          <a:stretch/>
                        </pic:blipFill>
                        <pic:spPr>
                          <a:xfrm flipH="false" flipV="false" rot="0">
                            <a:ext cx="95250" cy="1365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T Astra Serif" w:hAnsi="PT Astra Serif"/>
                <w:color w:val="000000"/>
                <w:sz w:val="16"/>
              </w:rPr>
              <w:t>Пнес) /3 +</w:t>
            </w:r>
            <w:r>
              <w:rPr>
                <w:rFonts w:ascii="PT Astra Serif" w:hAnsi="PT Astra Serif"/>
                <w:color w:val="000000"/>
                <w:sz w:val="16"/>
              </w:rPr>
              <w:t>Дз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pStyle w:val="Style_6"/>
              <w:widowControl w:val="1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4) Псим - прогнозируемый объем поступлений в расчетном году доходов от возмещения затрат за перемещение средств индивидуальной мобильности;</w:t>
            </w:r>
          </w:p>
          <w:p w14:paraId="71010000">
            <w:pPr>
              <w:pStyle w:val="Style_6"/>
              <w:widowControl w:val="1"/>
              <w:ind/>
              <w:jc w:val="left"/>
              <w:rPr>
                <w:rFonts w:ascii="PT Astra Serif" w:hAnsi="PT Astra Serif"/>
                <w:color w:val="000000"/>
                <w:sz w:val="16"/>
              </w:rPr>
            </w:pPr>
          </w:p>
          <w:p w14:paraId="72010000">
            <w:pPr>
              <w:pStyle w:val="Style_6"/>
              <w:widowControl w:val="1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 xml:space="preserve">П 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>1</w:t>
            </w:r>
            <w:r>
              <w:rPr>
                <w:rFonts w:ascii="PT Astra Serif" w:hAnsi="PT Astra Serif"/>
                <w:color w:val="000000"/>
                <w:sz w:val="16"/>
              </w:rPr>
              <w:t>, 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 xml:space="preserve"> 2</w:t>
            </w:r>
            <w:r>
              <w:rPr>
                <w:rFonts w:ascii="PT Astra Serif" w:hAnsi="PT Astra Serif"/>
                <w:color w:val="000000"/>
                <w:sz w:val="16"/>
              </w:rPr>
              <w:t>, П</w:t>
            </w:r>
            <w:r>
              <w:rPr>
                <w:rFonts w:ascii="PT Astra Serif" w:hAnsi="PT Astra Serif"/>
                <w:color w:val="000000"/>
                <w:sz w:val="16"/>
                <w:vertAlign w:val="subscript"/>
              </w:rPr>
              <w:t xml:space="preserve"> 3</w:t>
            </w:r>
            <w:r>
              <w:rPr>
                <w:rFonts w:ascii="PT Astra Serif" w:hAnsi="PT Astra Serif"/>
                <w:color w:val="000000"/>
                <w:sz w:val="16"/>
              </w:rPr>
              <w:t xml:space="preserve"> - </w:t>
            </w:r>
            <w:r>
              <w:rPr>
                <w:rFonts w:ascii="PT Astra Serif" w:hAnsi="PT Astra Serif"/>
                <w:color w:val="000000"/>
                <w:sz w:val="16"/>
              </w:rPr>
              <w:t>фактический объем поступлений за отчетный период;</w:t>
            </w:r>
          </w:p>
          <w:p w14:paraId="73010000">
            <w:pPr>
              <w:pStyle w:val="Style_6"/>
              <w:widowControl w:val="1"/>
              <w:ind/>
              <w:jc w:val="left"/>
              <w:rPr>
                <w:rFonts w:ascii="PT Astra Serif" w:hAnsi="PT Astra Serif"/>
                <w:color w:val="000000"/>
                <w:sz w:val="16"/>
              </w:rPr>
            </w:pPr>
          </w:p>
          <w:p w14:paraId="74010000">
            <w:pPr>
              <w:pStyle w:val="Style_6"/>
              <w:widowControl w:val="1"/>
              <w:ind/>
              <w:jc w:val="lef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∑</w:t>
            </w:r>
            <w:r>
              <w:rPr>
                <w:rFonts w:ascii="PT Astra Serif" w:hAnsi="PT Astra Serif"/>
                <w:color w:val="000000"/>
                <w:sz w:val="16"/>
              </w:rPr>
              <w:t>Пнес - суммарный объем поступлений, носящих несистемный характер, за отчетный период</w:t>
            </w:r>
          </w:p>
          <w:p w14:paraId="75010000">
            <w:pPr>
              <w:pStyle w:val="Style_6"/>
              <w:widowControl w:val="1"/>
              <w:ind/>
              <w:jc w:val="left"/>
              <w:rPr>
                <w:rFonts w:ascii="PT Astra Serif" w:hAnsi="PT Astra Serif"/>
                <w:color w:val="000000"/>
                <w:sz w:val="16"/>
              </w:rPr>
            </w:pPr>
          </w:p>
          <w:p w14:paraId="76010000">
            <w:pPr>
              <w:pStyle w:val="Style_3"/>
              <w:widowControl w:val="1"/>
              <w:spacing w:after="0" w:before="0" w:line="240" w:lineRule="auto"/>
              <w:ind/>
              <w:rPr>
                <w:rFonts w:ascii="PT Astra Serif" w:hAnsi="PT Astra Serif"/>
                <w:color w:val="000000"/>
                <w:sz w:val="16"/>
              </w:rPr>
            </w:pPr>
            <w:r>
              <w:rPr>
                <w:rFonts w:ascii="PT Astra Serif" w:hAnsi="PT Astra Serif"/>
                <w:color w:val="000000"/>
                <w:sz w:val="16"/>
              </w:rPr>
              <w:t>Дз – оценка ожидаемых результатов работы по взысканию задолженности по доходам</w:t>
            </w:r>
          </w:p>
        </w:tc>
      </w:tr>
    </w:tbl>
    <w:p w14:paraId="7701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28" w:lineRule="auto"/>
        <w:ind w:firstLine="709"/>
        <w:contextualSpacing w:val="1"/>
        <w:jc w:val="both"/>
        <w:rPr>
          <w:rFonts w:ascii="PT Astra Serif" w:hAnsi="PT Astra Serif"/>
          <w:color w:val="000000"/>
          <w:sz w:val="10"/>
        </w:rPr>
      </w:pPr>
    </w:p>
    <w:p w14:paraId="7801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28" w:lineRule="auto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25) в графе 6 пункта 20 приложения № 8 к Методике слова «усреднения (в том числе с применением скользящей средней)» заменить словами «усреднения (с применением простой средней или скользящей средней)»;</w:t>
      </w:r>
    </w:p>
    <w:p w14:paraId="7901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28" w:lineRule="auto"/>
        <w:ind w:firstLine="709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26) в графе 6 пункта 23 приложения № 8 к Методике слова «усреднения (в том числе с применением скользящей средней)» заменить словами «усреднения (с применением простой средней или скользящей средней)».</w:t>
      </w:r>
    </w:p>
    <w:p w14:paraId="7A01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28" w:lineRule="auto"/>
        <w:ind w:firstLine="709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Настоящее постановление вступает в силу после его официального опубликования.</w:t>
      </w:r>
    </w:p>
    <w:p w14:paraId="7B01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28" w:lineRule="auto"/>
        <w:ind w:firstLine="709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Службе внешних связей и молодежной политики администрации города Магнитогорска (Числова Г.Д.) опубликовать настоящее постановление в средствах массовой информации и разместить </w:t>
      </w:r>
      <w:r>
        <w:rPr>
          <w:rFonts w:ascii="PT Astra Serif" w:hAnsi="PT Astra Serif"/>
          <w:color w:val="000000"/>
          <w:sz w:val="28"/>
        </w:rPr>
        <w:t>на официальном сайте администрации города Магнитогорска.</w:t>
      </w:r>
    </w:p>
    <w:p w14:paraId="7C01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28" w:lineRule="auto"/>
        <w:ind w:firstLine="709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заместителя главы города Магнитогорска Макарову А.Н.</w:t>
      </w:r>
    </w:p>
    <w:p w14:paraId="7D010000">
      <w:pPr>
        <w:pStyle w:val="Style_3"/>
        <w:widowControl w:val="1"/>
        <w:spacing w:after="0" w:before="0" w:line="228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7E010000">
      <w:pPr>
        <w:pStyle w:val="Style_3"/>
        <w:widowControl w:val="1"/>
        <w:spacing w:after="0" w:before="0" w:line="228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7F010000">
      <w:pPr>
        <w:pStyle w:val="Style_3"/>
        <w:widowControl w:val="1"/>
        <w:spacing w:after="0" w:before="0" w:line="228" w:lineRule="auto"/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8001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8101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главы города Магнитогорска                                                          М.В. Москалев</w:t>
      </w:r>
    </w:p>
    <w:p w14:paraId="82010000">
      <w:pPr>
        <w:pStyle w:val="Style_3"/>
        <w:widowControl w:val="1"/>
        <w:spacing w:after="0" w:before="0" w:line="228" w:lineRule="auto"/>
        <w:ind/>
        <w:jc w:val="both"/>
        <w:rPr>
          <w:rFonts w:ascii="PT Astra Serif" w:hAnsi="PT Astra Serif"/>
          <w:color w:val="000000"/>
        </w:rPr>
      </w:pPr>
    </w:p>
    <w:p w14:paraId="83010000">
      <w:pPr>
        <w:pStyle w:val="Style_3"/>
        <w:widowControl w:val="1"/>
        <w:spacing w:after="0" w:before="0" w:line="228" w:lineRule="auto"/>
        <w:ind/>
        <w:jc w:val="both"/>
        <w:rPr>
          <w:rFonts w:ascii="PT Astra Serif" w:hAnsi="PT Astra Serif"/>
          <w:color w:val="000000"/>
        </w:rPr>
      </w:pPr>
    </w:p>
    <w:p w14:paraId="84010000">
      <w:pPr>
        <w:pStyle w:val="Style_3"/>
        <w:widowControl w:val="1"/>
        <w:spacing w:after="0" w:before="0" w:line="228" w:lineRule="auto"/>
        <w:ind/>
        <w:jc w:val="both"/>
        <w:rPr>
          <w:rFonts w:ascii="PT Astra Serif" w:hAnsi="PT Astra Serif"/>
          <w:color w:val="000000"/>
        </w:rPr>
      </w:pPr>
    </w:p>
    <w:p w14:paraId="85010000">
      <w:pPr>
        <w:pStyle w:val="Style_3"/>
        <w:widowControl w:val="1"/>
        <w:spacing w:after="0" w:before="0" w:line="228" w:lineRule="auto"/>
        <w:ind/>
        <w:jc w:val="both"/>
        <w:rPr>
          <w:rFonts w:ascii="PT Astra Serif" w:hAnsi="PT Astra Serif"/>
          <w:color w:val="000000"/>
        </w:rPr>
      </w:pPr>
    </w:p>
    <w:p w14:paraId="86010000">
      <w:pPr>
        <w:pStyle w:val="Style_3"/>
        <w:widowControl w:val="1"/>
        <w:spacing w:after="0" w:before="0" w:line="228" w:lineRule="auto"/>
        <w:ind/>
        <w:jc w:val="both"/>
        <w:rPr>
          <w:rFonts w:ascii="PT Astra Serif" w:hAnsi="PT Astra Serif"/>
          <w:color w:val="000000"/>
        </w:rPr>
      </w:pPr>
    </w:p>
    <w:p w14:paraId="87010000">
      <w:pPr>
        <w:pStyle w:val="Style_3"/>
        <w:widowControl w:val="1"/>
        <w:spacing w:after="0" w:before="0" w:line="228" w:lineRule="auto"/>
        <w:ind/>
        <w:jc w:val="both"/>
        <w:rPr>
          <w:rFonts w:ascii="PT Astra Serif" w:hAnsi="PT Astra Serif"/>
          <w:color w:val="000000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Вр-2372119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7" w:type="paragraph">
    <w:name w:val="toc 2"/>
    <w:next w:val="Style_3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3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List"/>
    <w:basedOn w:val="Style_11"/>
    <w:link w:val="Style_10_ch"/>
    <w:rPr>
      <w:rFonts w:ascii="PT Astra Serif" w:hAnsi="PT Astra Serif"/>
    </w:rPr>
  </w:style>
  <w:style w:styleId="Style_10_ch" w:type="character">
    <w:name w:val="List"/>
    <w:basedOn w:val="Style_11_ch"/>
    <w:link w:val="Style_10"/>
    <w:rPr>
      <w:rFonts w:ascii="PT Astra Serif" w:hAnsi="PT Astra Serif"/>
    </w:rPr>
  </w:style>
  <w:style w:styleId="Style_12" w:type="paragraph">
    <w:name w:val="toc 7"/>
    <w:next w:val="Style_3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Колонтитулы"/>
    <w:basedOn w:val="Style_3"/>
    <w:link w:val="Style_15_ch"/>
  </w:style>
  <w:style w:styleId="Style_15_ch" w:type="character">
    <w:name w:val="Колонтитулы"/>
    <w:basedOn w:val="Style_3_ch"/>
    <w:link w:val="Style_15"/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1" w:type="paragraph">
    <w:name w:val="Body Text"/>
    <w:basedOn w:val="Style_3"/>
    <w:link w:val="Style_11_ch"/>
    <w:pPr>
      <w:widowControl w:val="1"/>
      <w:spacing w:after="140" w:before="0" w:line="276" w:lineRule="auto"/>
      <w:ind/>
    </w:pPr>
  </w:style>
  <w:style w:styleId="Style_11_ch" w:type="character">
    <w:name w:val="Body Text"/>
    <w:basedOn w:val="Style_3_ch"/>
    <w:link w:val="Style_11"/>
  </w:style>
  <w:style w:styleId="Style_17" w:type="paragraph">
    <w:name w:val="Верхний колонтитул Знак"/>
    <w:basedOn w:val="Style_16"/>
    <w:link w:val="Style_17_ch"/>
  </w:style>
  <w:style w:styleId="Style_17_ch" w:type="character">
    <w:name w:val="Верхний колонтитул Знак"/>
    <w:basedOn w:val="Style_16_ch"/>
    <w:link w:val="Style_17"/>
  </w:style>
  <w:style w:styleId="Style_18" w:type="paragraph">
    <w:name w:val="Заголовок"/>
    <w:basedOn w:val="Style_3"/>
    <w:next w:val="Style_11"/>
    <w:link w:val="Style_1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"/>
    <w:basedOn w:val="Style_3_ch"/>
    <w:link w:val="Style_18"/>
    <w:rPr>
      <w:rFonts w:ascii="PT Astra Serif" w:hAnsi="PT Astra Serif"/>
      <w:sz w:val="28"/>
    </w:rPr>
  </w:style>
  <w:style w:styleId="Style_4" w:type="paragraph">
    <w:name w:val="s_1"/>
    <w:basedOn w:val="Style_3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s_1"/>
    <w:basedOn w:val="Style_3_ch"/>
    <w:link w:val="Style_4"/>
    <w:rPr>
      <w:rFonts w:ascii="Times New Roman" w:hAnsi="Times New Roman"/>
      <w:sz w:val="24"/>
    </w:rPr>
  </w:style>
  <w:style w:styleId="Style_6" w:type="paragraph">
    <w:name w:val="Standard"/>
    <w:link w:val="Style_6_ch"/>
    <w:pPr>
      <w:widowControl w:val="0"/>
      <w:spacing w:after="0" w:before="0" w:line="240" w:lineRule="auto"/>
      <w:ind/>
      <w:jc w:val="center"/>
    </w:pPr>
    <w:rPr>
      <w:rFonts w:ascii="PT Astra Serif" w:hAnsi="PT Astra Serif"/>
      <w:color w:val="000000"/>
      <w:sz w:val="28"/>
    </w:rPr>
  </w:style>
  <w:style w:styleId="Style_6_ch" w:type="character">
    <w:name w:val="Standard"/>
    <w:link w:val="Style_6"/>
    <w:rPr>
      <w:rFonts w:ascii="PT Astra Serif" w:hAnsi="PT Astra Serif"/>
      <w:color w:val="000000"/>
      <w:sz w:val="28"/>
    </w:rPr>
  </w:style>
  <w:style w:styleId="Style_19" w:type="paragraph">
    <w:name w:val="toc 3"/>
    <w:next w:val="Style_3"/>
    <w:link w:val="Style_1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Заголовок (user)"/>
    <w:basedOn w:val="Style_3"/>
    <w:next w:val="Style_11"/>
    <w:link w:val="Style_2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0_ch" w:type="character">
    <w:name w:val="Заголовок (user)"/>
    <w:basedOn w:val="Style_3_ch"/>
    <w:link w:val="Style_20"/>
    <w:rPr>
      <w:rFonts w:ascii="PT Astra Serif" w:hAnsi="PT Astra Serif"/>
      <w:sz w:val="28"/>
    </w:rPr>
  </w:style>
  <w:style w:styleId="Style_21" w:type="paragraph">
    <w:name w:val="heading 5"/>
    <w:next w:val="Style_3"/>
    <w:link w:val="Style_2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3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3" w:type="paragraph">
    <w:name w:val="Указатель (user)"/>
    <w:basedOn w:val="Style_3"/>
    <w:link w:val="Style_23_ch"/>
    <w:rPr>
      <w:rFonts w:ascii="PT Astra Serif" w:hAnsi="PT Astra Serif"/>
    </w:rPr>
  </w:style>
  <w:style w:styleId="Style_23_ch" w:type="character">
    <w:name w:val="Указатель (user)"/>
    <w:basedOn w:val="Style_3_ch"/>
    <w:link w:val="Style_23"/>
    <w:rPr>
      <w:rFonts w:ascii="PT Astra Serif" w:hAnsi="PT Astra Serif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3"/>
    <w:link w:val="Style_2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7" w:type="paragraph">
    <w:name w:val="Header and Footer"/>
    <w:link w:val="Style_2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Balloon Text"/>
    <w:basedOn w:val="Style_3"/>
    <w:link w:val="Style_2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8_ch" w:type="character">
    <w:name w:val="Balloon Text"/>
    <w:basedOn w:val="Style_3_ch"/>
    <w:link w:val="Style_28"/>
    <w:rPr>
      <w:rFonts w:ascii="Tahoma" w:hAnsi="Tahoma"/>
      <w:sz w:val="16"/>
    </w:rPr>
  </w:style>
  <w:style w:styleId="Style_29" w:type="paragraph">
    <w:name w:val="toc 9"/>
    <w:next w:val="Style_3"/>
    <w:link w:val="Style_2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caption"/>
    <w:basedOn w:val="Style_3"/>
    <w:link w:val="Style_3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0_ch" w:type="character">
    <w:name w:val="caption"/>
    <w:basedOn w:val="Style_3_ch"/>
    <w:link w:val="Style_30"/>
    <w:rPr>
      <w:rFonts w:ascii="PT Astra Serif" w:hAnsi="PT Astra Serif"/>
      <w:i w:val="1"/>
      <w:sz w:val="24"/>
    </w:rPr>
  </w:style>
  <w:style w:styleId="Style_31" w:type="paragraph">
    <w:name w:val="toc 8"/>
    <w:next w:val="Style_3"/>
    <w:link w:val="Style_3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Emphasis"/>
    <w:basedOn w:val="Style_16"/>
    <w:link w:val="Style_32_ch"/>
    <w:rPr>
      <w:i w:val="1"/>
    </w:rPr>
  </w:style>
  <w:style w:styleId="Style_32_ch" w:type="character">
    <w:name w:val="Emphasis"/>
    <w:basedOn w:val="Style_16_ch"/>
    <w:link w:val="Style_32"/>
    <w:rPr>
      <w:i w:val="1"/>
    </w:rPr>
  </w:style>
  <w:style w:styleId="Style_33" w:type="paragraph">
    <w:name w:val="toc 5"/>
    <w:next w:val="Style_3"/>
    <w:link w:val="Style_3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Комментарий"/>
    <w:basedOn w:val="Style_3"/>
    <w:link w:val="Style_34_ch"/>
    <w:pPr>
      <w:widowControl w:val="1"/>
      <w:spacing w:after="0" w:before="56" w:line="240" w:lineRule="auto"/>
      <w:ind w:firstLine="0" w:left="57" w:right="57"/>
    </w:pPr>
    <w:rPr>
      <w:color w:val="000000"/>
      <w:sz w:val="20"/>
    </w:rPr>
  </w:style>
  <w:style w:styleId="Style_34_ch" w:type="character">
    <w:name w:val="Комментарий"/>
    <w:basedOn w:val="Style_3_ch"/>
    <w:link w:val="Style_34"/>
    <w:rPr>
      <w:color w:val="000000"/>
      <w:sz w:val="20"/>
    </w:rPr>
  </w:style>
  <w:style w:styleId="Style_35" w:type="paragraph">
    <w:name w:val="Subtitle"/>
    <w:next w:val="Style_3"/>
    <w:link w:val="Style_3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3"/>
    <w:link w:val="Style_3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3"/>
    <w:link w:val="Style_3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Нижний колонтитул Знак"/>
    <w:basedOn w:val="Style_16"/>
    <w:link w:val="Style_38_ch"/>
  </w:style>
  <w:style w:styleId="Style_38_ch" w:type="character">
    <w:name w:val="Нижний колонтитул Знак"/>
    <w:basedOn w:val="Style_16_ch"/>
    <w:link w:val="Style_38"/>
  </w:style>
  <w:style w:styleId="Style_39" w:type="paragraph">
    <w:name w:val="Указатель"/>
    <w:basedOn w:val="Style_3"/>
    <w:link w:val="Style_39_ch"/>
    <w:rPr>
      <w:rFonts w:ascii="PT Astra Serif" w:hAnsi="PT Astra Serif"/>
    </w:rPr>
  </w:style>
  <w:style w:styleId="Style_39_ch" w:type="character">
    <w:name w:val="Указатель"/>
    <w:basedOn w:val="Style_3_ch"/>
    <w:link w:val="Style_39"/>
    <w:rPr>
      <w:rFonts w:ascii="PT Astra Serif" w:hAnsi="PT Astra Serif"/>
    </w:rPr>
  </w:style>
  <w:style w:styleId="Style_40" w:type="paragraph">
    <w:name w:val="heading 2"/>
    <w:next w:val="Style_3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Grid"/>
    <w:basedOn w:val="Style_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1.emf" Type="http://schemas.openxmlformats.org/officeDocument/2006/relationships/image"/>
  <Relationship Id="rId6" Target="footer6.xml" Type="http://schemas.openxmlformats.org/officeDocument/2006/relationships/footer"/>
  <Relationship Id="rId14" Target="webSettings.xml" Type="http://schemas.openxmlformats.org/officeDocument/2006/relationships/webSettings"/>
  <Relationship Id="rId13" Target="stylesWithEffects.xml" Type="http://schemas.microsoft.com/office/2007/relationships/stylesWithEffect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styles.xml" Type="http://schemas.openxmlformats.org/officeDocument/2006/relationships/styles"/>
  <Relationship Id="rId10" Target="fontTable.xml" Type="http://schemas.openxmlformats.org/officeDocument/2006/relationships/fontTable"/>
  <Relationship Id="rId5" Target="header5.xml" Type="http://schemas.openxmlformats.org/officeDocument/2006/relationships/header"/>
  <Relationship Id="rId11" Target="settings.xml" Type="http://schemas.openxmlformats.org/officeDocument/2006/relationships/settings"/>
  <Relationship Id="rId8" Target="media/2.emf" Type="http://schemas.openxmlformats.org/officeDocument/2006/relationships/image"/>
  <Relationship Id="rId2" Target="footer2.xml" Type="http://schemas.openxmlformats.org/officeDocument/2006/relationships/footer"/>
  <Relationship Id="rId9" Target="media/3.emf" Type="http://schemas.openxmlformats.org/officeDocument/2006/relationships/image"/>
  <Relationship Id="rId15" Target="theme/theme1.xml" Type="http://schemas.openxmlformats.org/officeDocument/2006/relationships/them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2026-04-14T08:54:00Z</dcterms:created>
  <dcterms:modified xsi:type="dcterms:W3CDTF">2026-06-04T05:50:32Z</dcterms:modified>
</cp:coreProperties>
</file>