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05.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3131</w:t>
      </w:r>
      <w:r>
        <w:rPr>
          <w:spacing w:val="-4"/>
          <w:sz w:val="28"/>
        </w:rPr>
        <w:t>-П</w:t>
      </w:r>
    </w:p>
    <w:p w14:paraId="09000000">
      <w:pPr>
        <w:widowControl w:val="0"/>
        <w:spacing w:after="0" w:before="0" w:line="240" w:lineRule="auto"/>
        <w:ind w:right="4254"/>
        <w:jc w:val="left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О внесении изменений в постановление </w:t>
      </w:r>
      <w:r>
        <w:rPr>
          <w:rFonts w:ascii="PT Astra Serif" w:hAnsi="PT Astra Serif"/>
          <w:color w:val="000000"/>
          <w:sz w:val="28"/>
          <w:u w:val="none"/>
        </w:rPr>
        <w:t xml:space="preserve">администрации города Магнитогорска </w:t>
      </w:r>
      <w:r>
        <w:rPr>
          <w:rFonts w:ascii="PT Astra Serif" w:hAnsi="PT Astra Serif"/>
          <w:color w:val="000000"/>
          <w:sz w:val="28"/>
          <w:u w:val="none"/>
        </w:rPr>
        <w:br/>
      </w:r>
      <w:r>
        <w:rPr>
          <w:rFonts w:ascii="PT Astra Serif" w:hAnsi="PT Astra Serif"/>
          <w:color w:val="000000"/>
          <w:sz w:val="28"/>
          <w:u w:val="none"/>
        </w:rPr>
        <w:t>от 26</w:t>
      </w:r>
      <w:r>
        <w:rPr>
          <w:rFonts w:ascii="PT Astra Serif" w:hAnsi="PT Astra Serif"/>
          <w:color w:val="000000"/>
          <w:sz w:val="28"/>
          <w:u w:val="none"/>
        </w:rPr>
        <w:t>.10.2022</w:t>
      </w:r>
      <w:r>
        <w:rPr>
          <w:rFonts w:ascii="PT Astra Serif" w:hAnsi="PT Astra Serif"/>
          <w:color w:val="000000"/>
          <w:sz w:val="28"/>
          <w:u w:val="none"/>
        </w:rPr>
        <w:t xml:space="preserve"> </w:t>
      </w:r>
      <w:r>
        <w:rPr>
          <w:rFonts w:ascii="PT Astra Serif" w:hAnsi="PT Astra Serif"/>
          <w:color w:val="000000"/>
          <w:sz w:val="28"/>
          <w:u w:val="none"/>
        </w:rPr>
        <w:t>№ 11356</w:t>
      </w:r>
      <w:r>
        <w:rPr>
          <w:rFonts w:ascii="PT Astra Serif" w:hAnsi="PT Astra Serif"/>
          <w:color w:val="000000"/>
          <w:sz w:val="28"/>
          <w:u w:val="none"/>
        </w:rPr>
        <w:t xml:space="preserve">-П </w:t>
      </w:r>
    </w:p>
    <w:p w14:paraId="0A000000">
      <w:pPr>
        <w:widowControl w:val="0"/>
        <w:spacing w:after="0" w:before="0" w:line="240" w:lineRule="auto"/>
        <w:ind/>
        <w:rPr>
          <w:rFonts w:ascii="PT Astra Serif" w:hAnsi="PT Astra Serif"/>
          <w:color w:val="000000"/>
          <w:sz w:val="28"/>
          <w:u w:val="none"/>
        </w:rPr>
      </w:pPr>
    </w:p>
    <w:p w14:paraId="0B000000">
      <w:pPr>
        <w:widowControl w:val="0"/>
        <w:spacing w:line="240" w:lineRule="auto"/>
        <w:ind w:firstLine="540" w:lef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>В соответствии с федеральными законами от 06.10.2003 № 131-ФЗ</w:t>
      </w:r>
      <w:r>
        <w:rPr>
          <w:rFonts w:ascii="PT Astra Serif" w:hAnsi="PT Astra Serif"/>
          <w:color w:val="000000"/>
          <w:sz w:val="28"/>
          <w:u w:val="none"/>
        </w:rPr>
        <w:t xml:space="preserve"> </w:t>
      </w:r>
      <w:r>
        <w:rPr>
          <w:rFonts w:ascii="PT Astra Serif" w:hAnsi="PT Astra Serif"/>
          <w:color w:val="000000"/>
          <w:sz w:val="28"/>
          <w:u w:val="none"/>
        </w:rPr>
        <w:br/>
      </w:r>
      <w:r>
        <w:rPr>
          <w:rFonts w:ascii="PT Astra Serif" w:hAnsi="PT Astra Serif"/>
          <w:color w:val="000000"/>
          <w:sz w:val="28"/>
          <w:u w:val="none"/>
        </w:rPr>
        <w:t>«</w:t>
      </w:r>
      <w:r>
        <w:rPr>
          <w:rStyle w:val="Style_3_ch"/>
          <w:rFonts w:ascii="PT Astra Serif" w:hAnsi="PT Astra Serif"/>
          <w:color w:val="000000"/>
          <w:sz w:val="28"/>
          <w:u w:val="none"/>
        </w:rPr>
        <w:fldChar w:fldCharType="begin"/>
      </w:r>
      <w:r>
        <w:rPr>
          <w:rStyle w:val="Style_3_ch"/>
          <w:rFonts w:ascii="PT Astra Serif" w:hAnsi="PT Astra Serif"/>
          <w:color w:val="000000"/>
          <w:sz w:val="28"/>
          <w:u w:val="none"/>
        </w:rPr>
        <w:instrText>HYPERLINK "consultantplus://offline/ref=61D283C552FE09AAD29091D95813BADDA5E0A5B5EEA6CAD0C000CD784Fw2s0H"</w:instrText>
      </w:r>
      <w:r>
        <w:rPr>
          <w:rStyle w:val="Style_3_ch"/>
          <w:rFonts w:ascii="PT Astra Serif" w:hAnsi="PT Astra Serif"/>
          <w:color w:val="000000"/>
          <w:sz w:val="28"/>
          <w:u w:val="none"/>
        </w:rPr>
        <w:fldChar w:fldCharType="separate"/>
      </w:r>
      <w:r>
        <w:rPr>
          <w:rStyle w:val="Style_3_ch"/>
          <w:rFonts w:ascii="PT Astra Serif" w:hAnsi="PT Astra Serif"/>
          <w:color w:val="000000"/>
          <w:sz w:val="28"/>
          <w:u w:val="none"/>
        </w:rPr>
        <w:t>Об общих принципах</w:t>
      </w:r>
      <w:r>
        <w:rPr>
          <w:rStyle w:val="Style_3_ch"/>
          <w:rFonts w:ascii="PT Astra Serif" w:hAnsi="PT Astra Serif"/>
          <w:color w:val="000000"/>
          <w:sz w:val="28"/>
          <w:u w:val="none"/>
        </w:rPr>
        <w:fldChar w:fldCharType="end"/>
      </w:r>
      <w:r>
        <w:rPr>
          <w:rFonts w:ascii="PT Astra Serif" w:hAnsi="PT Astra Serif"/>
          <w:color w:val="000000"/>
          <w:sz w:val="28"/>
          <w:u w:val="none"/>
        </w:rPr>
        <w:t xml:space="preserve"> организации местного самоуправления в Российской Федерации», от 27.07.2010 № 210-ФЗ «</w:t>
      </w:r>
      <w:r>
        <w:rPr>
          <w:rStyle w:val="Style_3_ch"/>
          <w:rFonts w:ascii="PT Astra Serif" w:hAnsi="PT Astra Serif"/>
          <w:color w:val="000000"/>
          <w:sz w:val="28"/>
          <w:u w:val="none"/>
        </w:rPr>
        <w:fldChar w:fldCharType="begin"/>
      </w:r>
      <w:r>
        <w:rPr>
          <w:rStyle w:val="Style_3_ch"/>
          <w:rFonts w:ascii="PT Astra Serif" w:hAnsi="PT Astra Serif"/>
          <w:color w:val="000000"/>
          <w:sz w:val="28"/>
          <w:u w:val="none"/>
        </w:rPr>
        <w:instrText>HYPERLINK "consultantplus://offline/ref=61D283C552FE09AAD29091D95813BADDA5E8A5B8EDAACAD0C000CD784Fw2s0H"</w:instrText>
      </w:r>
      <w:r>
        <w:rPr>
          <w:rStyle w:val="Style_3_ch"/>
          <w:rFonts w:ascii="PT Astra Serif" w:hAnsi="PT Astra Serif"/>
          <w:color w:val="000000"/>
          <w:sz w:val="28"/>
          <w:u w:val="none"/>
        </w:rPr>
        <w:fldChar w:fldCharType="separate"/>
      </w:r>
      <w:r>
        <w:rPr>
          <w:rStyle w:val="Style_3_ch"/>
          <w:rFonts w:ascii="PT Astra Serif" w:hAnsi="PT Astra Serif"/>
          <w:color w:val="000000"/>
          <w:sz w:val="28"/>
          <w:u w:val="none"/>
        </w:rPr>
        <w:t>Об организации</w:t>
      </w:r>
      <w:r>
        <w:rPr>
          <w:rStyle w:val="Style_3_ch"/>
          <w:rFonts w:ascii="PT Astra Serif" w:hAnsi="PT Astra Serif"/>
          <w:color w:val="000000"/>
          <w:sz w:val="28"/>
          <w:u w:val="none"/>
        </w:rPr>
        <w:fldChar w:fldCharType="end"/>
      </w:r>
      <w:r>
        <w:rPr>
          <w:rFonts w:ascii="PT Astra Serif" w:hAnsi="PT Astra Serif"/>
          <w:color w:val="000000"/>
          <w:sz w:val="28"/>
          <w:u w:val="none"/>
        </w:rPr>
        <w:t xml:space="preserve"> предоставления гос</w:t>
      </w:r>
      <w:r>
        <w:rPr>
          <w:rFonts w:ascii="PT Astra Serif" w:hAnsi="PT Astra Serif"/>
          <w:color w:val="000000"/>
          <w:sz w:val="28"/>
          <w:u w:val="none"/>
        </w:rPr>
        <w:t>ударственных и муниципальных услуг»,</w:t>
      </w:r>
      <w:r>
        <w:rPr>
          <w:rFonts w:ascii="PT Astra Serif" w:hAnsi="PT Astra Serif"/>
          <w:color w:val="000000"/>
          <w:sz w:val="28"/>
          <w:u w:val="none"/>
        </w:rPr>
        <w:t xml:space="preserve"> от 21.12.2004 № 172-ФЗ </w:t>
      </w:r>
      <w:r>
        <w:rPr>
          <w:rFonts w:ascii="PT Astra Serif" w:hAnsi="PT Astra Serif"/>
          <w:color w:val="000000"/>
          <w:sz w:val="28"/>
          <w:u w:val="none"/>
        </w:rPr>
        <w:br/>
      </w:r>
      <w:r>
        <w:rPr>
          <w:rFonts w:ascii="PT Astra Serif" w:hAnsi="PT Astra Serif"/>
          <w:color w:val="000000"/>
          <w:sz w:val="28"/>
          <w:u w:val="none"/>
        </w:rPr>
        <w:t>«О переводе земель или земельных участков из одной категории в другую»,</w:t>
      </w:r>
      <w:r>
        <w:rPr>
          <w:rFonts w:ascii="PT Astra Serif" w:hAnsi="PT Astra Serif"/>
          <w:color w:val="000000"/>
          <w:sz w:val="28"/>
          <w:u w:val="none"/>
        </w:rPr>
        <w:t xml:space="preserve"> </w:t>
      </w:r>
      <w:r>
        <w:rPr>
          <w:rFonts w:ascii="PT Astra Serif" w:hAnsi="PT Astra Serif"/>
          <w:color w:val="000000"/>
          <w:sz w:val="28"/>
          <w:u w:val="none"/>
        </w:rPr>
        <w:t>Земельным кодексом Российской Федерации,</w:t>
      </w:r>
      <w:r>
        <w:rPr>
          <w:rFonts w:ascii="PT Astra Serif" w:hAnsi="PT Astra Serif"/>
          <w:color w:val="000000"/>
          <w:sz w:val="28"/>
          <w:u w:val="none"/>
        </w:rPr>
        <w:t xml:space="preserve"> постановлением Правительства Российской Федерации от 26.03.2016 № 236 «О требованиях </w:t>
      </w:r>
      <w:r>
        <w:rPr>
          <w:rFonts w:ascii="PT Astra Serif" w:hAnsi="PT Astra Serif"/>
          <w:color w:val="000000"/>
          <w:sz w:val="28"/>
          <w:u w:val="none"/>
        </w:rPr>
        <w:br/>
      </w:r>
      <w:r>
        <w:rPr>
          <w:rFonts w:ascii="PT Astra Serif" w:hAnsi="PT Astra Serif"/>
          <w:color w:val="000000"/>
          <w:sz w:val="28"/>
          <w:u w:val="none"/>
        </w:rPr>
        <w:t>к предоставлению в электронной форме государственных и муниципальных услуг», руководствуяс</w:t>
      </w:r>
      <w:r>
        <w:rPr>
          <w:rFonts w:ascii="PT Astra Serif" w:hAnsi="PT Astra Serif"/>
          <w:color w:val="000000"/>
          <w:sz w:val="28"/>
          <w:u w:val="none"/>
        </w:rPr>
        <w:t xml:space="preserve">ь </w:t>
      </w:r>
      <w:r>
        <w:rPr>
          <w:rStyle w:val="Style_3_ch"/>
          <w:rFonts w:ascii="PT Astra Serif" w:hAnsi="PT Astra Serif"/>
          <w:color w:val="000000"/>
          <w:sz w:val="28"/>
          <w:u w:val="none"/>
        </w:rPr>
        <w:fldChar w:fldCharType="begin"/>
      </w:r>
      <w:r>
        <w:rPr>
          <w:rStyle w:val="Style_3_ch"/>
          <w:rFonts w:ascii="PT Astra Serif" w:hAnsi="PT Astra Serif"/>
          <w:color w:val="000000"/>
          <w:sz w:val="28"/>
          <w:u w:val="none"/>
        </w:rPr>
        <w:instrText>HYPERLINK "consultantplus://offline/ref=61D283C552FE09AAD2908FD44E7FE5D6AEE3FAB0EFA1C8849951CB2F10702B16CBw8s7H"</w:instrText>
      </w:r>
      <w:r>
        <w:rPr>
          <w:rStyle w:val="Style_3_ch"/>
          <w:rFonts w:ascii="PT Astra Serif" w:hAnsi="PT Astra Serif"/>
          <w:color w:val="000000"/>
          <w:sz w:val="28"/>
          <w:u w:val="none"/>
        </w:rPr>
        <w:fldChar w:fldCharType="separate"/>
      </w:r>
      <w:r>
        <w:rPr>
          <w:rStyle w:val="Style_3_ch"/>
          <w:rFonts w:ascii="PT Astra Serif" w:hAnsi="PT Astra Serif"/>
          <w:color w:val="000000"/>
          <w:sz w:val="28"/>
          <w:u w:val="none"/>
        </w:rPr>
        <w:t>Уставом</w:t>
      </w:r>
      <w:r>
        <w:rPr>
          <w:rStyle w:val="Style_3_ch"/>
          <w:rFonts w:ascii="PT Astra Serif" w:hAnsi="PT Astra Serif"/>
          <w:color w:val="000000"/>
          <w:sz w:val="28"/>
          <w:u w:val="none"/>
        </w:rPr>
        <w:fldChar w:fldCharType="end"/>
      </w:r>
      <w:r>
        <w:rPr>
          <w:rFonts w:ascii="PT Astra Serif" w:hAnsi="PT Astra Serif"/>
          <w:color w:val="000000"/>
          <w:sz w:val="28"/>
          <w:u w:val="none"/>
        </w:rPr>
        <w:t xml:space="preserve"> города М</w:t>
      </w:r>
      <w:r>
        <w:rPr>
          <w:rFonts w:ascii="PT Astra Serif" w:hAnsi="PT Astra Serif"/>
          <w:color w:val="000000"/>
          <w:sz w:val="28"/>
          <w:u w:val="none"/>
        </w:rPr>
        <w:t>агнитогорска,</w:t>
      </w:r>
    </w:p>
    <w:p w14:paraId="0C000000">
      <w:pPr>
        <w:widowControl w:val="0"/>
        <w:spacing w:after="0" w:before="0" w:line="240" w:lineRule="auto"/>
        <w:ind w:firstLine="540" w:left="0"/>
        <w:jc w:val="both"/>
        <w:rPr>
          <w:rFonts w:ascii="PT Astra Serif" w:hAnsi="PT Astra Serif"/>
          <w:color w:val="000000"/>
          <w:sz w:val="28"/>
          <w:u w:val="none"/>
        </w:rPr>
      </w:pPr>
    </w:p>
    <w:p w14:paraId="0D000000">
      <w:pPr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>ПОСТАНОВЛЯЮ:</w:t>
      </w:r>
    </w:p>
    <w:p w14:paraId="0E000000">
      <w:pPr>
        <w:widowControl w:val="0"/>
        <w:numPr>
          <w:ilvl w:val="0"/>
          <w:numId w:val="1"/>
        </w:numPr>
        <w:spacing w:after="0" w:before="0" w:line="240" w:lineRule="auto"/>
        <w:ind w:firstLine="567" w:left="0"/>
        <w:contextualSpacing w:val="1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Внести в постановление администрации города Магнитогорска </w:t>
      </w:r>
      <w:r>
        <w:rPr>
          <w:rFonts w:ascii="PT Astra Serif" w:hAnsi="PT Astra Serif"/>
          <w:color w:val="000000"/>
          <w:sz w:val="28"/>
          <w:u w:val="none"/>
        </w:rPr>
        <w:br/>
      </w:r>
      <w:r>
        <w:rPr>
          <w:rFonts w:ascii="PT Astra Serif" w:hAnsi="PT Astra Serif"/>
          <w:color w:val="000000"/>
          <w:sz w:val="28"/>
          <w:u w:val="none"/>
        </w:rPr>
        <w:t xml:space="preserve">от 26.10.2022 </w:t>
      </w:r>
      <w:r>
        <w:rPr>
          <w:rFonts w:ascii="PT Astra Serif" w:hAnsi="PT Astra Serif"/>
          <w:color w:val="000000"/>
          <w:sz w:val="28"/>
          <w:u w:val="none"/>
        </w:rPr>
        <w:t>№ 11356</w:t>
      </w:r>
      <w:r>
        <w:rPr>
          <w:rFonts w:ascii="PT Astra Serif" w:hAnsi="PT Astra Serif"/>
          <w:color w:val="000000"/>
          <w:sz w:val="28"/>
          <w:u w:val="none"/>
        </w:rPr>
        <w:t>-П</w:t>
      </w:r>
      <w:r>
        <w:rPr>
          <w:rFonts w:ascii="PT Astra Serif" w:hAnsi="PT Astra Serif"/>
          <w:color w:val="000000"/>
          <w:sz w:val="28"/>
          <w:u w:val="none"/>
        </w:rPr>
        <w:t xml:space="preserve"> «Об утверждении Административного регламента предоставления администрацией города Магнитогорска муниципальной услуги «Отнесение земель или земельных участков в составе таких земель</w:t>
      </w:r>
      <w:r>
        <w:rPr>
          <w:rFonts w:ascii="PT Astra Serif" w:hAnsi="PT Astra Serif"/>
          <w:color w:val="000000"/>
          <w:sz w:val="28"/>
          <w:u w:val="none"/>
        </w:rPr>
        <w:br/>
      </w:r>
      <w:r>
        <w:rPr>
          <w:rFonts w:ascii="PT Astra Serif" w:hAnsi="PT Astra Serif"/>
          <w:color w:val="000000"/>
          <w:sz w:val="28"/>
          <w:u w:val="none"/>
        </w:rPr>
        <w:t>к определённой категории земель или перевод земель или земельных участков в составе таких земель из одной категории в другую</w:t>
      </w:r>
      <w:r>
        <w:rPr>
          <w:rFonts w:ascii="PT Astra Serif" w:hAnsi="PT Astra Serif"/>
          <w:color w:val="000000"/>
          <w:sz w:val="28"/>
          <w:u w:val="none"/>
        </w:rPr>
        <w:t xml:space="preserve">» (далее - постановление) </w:t>
      </w:r>
      <w:r>
        <w:rPr>
          <w:rFonts w:ascii="PT Astra Serif" w:hAnsi="PT Astra Serif"/>
          <w:color w:val="000000"/>
          <w:sz w:val="28"/>
          <w:u w:val="none"/>
        </w:rPr>
        <w:t>следующие изменения:</w:t>
      </w:r>
    </w:p>
    <w:p w14:paraId="0F000000">
      <w:pPr>
        <w:widowControl w:val="0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>1) пункт 2.16 приложения к постановлению дополнить подпунктом 4 следующего содержания:</w:t>
      </w:r>
    </w:p>
    <w:p w14:paraId="10000000">
      <w:pPr>
        <w:widowControl w:val="0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«4. 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r>
        <w:rPr>
          <w:rFonts w:ascii="PT Astra Serif" w:hAnsi="PT Astra Serif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fldChar w:fldCharType="begin"/>
      </w:r>
      <w:r>
        <w:rPr>
          <w:rFonts w:ascii="PT Astra Serif" w:hAnsi="PT Astra Serif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instrText>HYPERLINK "https://internet.garant.ru/#/document/12177515/entry/16172"</w:instrText>
      </w:r>
      <w:r>
        <w:rPr>
          <w:rFonts w:ascii="PT Astra Serif" w:hAnsi="PT Astra Serif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fldChar w:fldCharType="separate"/>
      </w:r>
      <w:r>
        <w:rPr>
          <w:rFonts w:ascii="PT Astra Serif" w:hAnsi="PT Astra Serif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t>пунктом 7.2 части 1 статьи 16</w:t>
      </w:r>
      <w:r>
        <w:rPr>
          <w:rFonts w:ascii="PT Astra Serif" w:hAnsi="PT Astra Serif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fldChar w:fldCharType="end"/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 xml:space="preserve"> Закона № 210-ФЗ, за исключением случаев, если нанесение отметок на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 xml:space="preserve">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законами.»;</w:t>
      </w:r>
    </w:p>
    <w:p w14:paraId="11000000">
      <w:pPr>
        <w:widowControl w:val="0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2) </w:t>
      </w:r>
      <w:r>
        <w:rPr>
          <w:rFonts w:ascii="PT Astra Serif" w:hAnsi="PT Astra Serif"/>
          <w:color w:val="000000"/>
          <w:sz w:val="28"/>
          <w:u w:val="none"/>
        </w:rPr>
        <w:t xml:space="preserve">абзац 3 пункта 2.25 приложения к постановлению изложить </w:t>
      </w:r>
      <w:r>
        <w:rPr>
          <w:rFonts w:ascii="PT Astra Serif" w:hAnsi="PT Astra Serif"/>
          <w:color w:val="000000"/>
          <w:sz w:val="28"/>
          <w:u w:val="none"/>
        </w:rPr>
        <w:br/>
      </w:r>
      <w:r>
        <w:rPr>
          <w:rFonts w:ascii="PT Astra Serif" w:hAnsi="PT Astra Serif"/>
          <w:color w:val="000000"/>
          <w:sz w:val="28"/>
          <w:u w:val="none"/>
        </w:rPr>
        <w:t>в следующей редакции:</w:t>
      </w:r>
    </w:p>
    <w:p w14:paraId="12000000">
      <w:pPr>
        <w:widowControl w:val="0"/>
        <w:spacing w:after="0" w:before="0" w:line="240" w:lineRule="auto"/>
        <w:ind w:firstLine="709" w:left="0"/>
        <w:contextualSpacing w:val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>«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u w:val="none"/>
        </w:rPr>
        <w:t>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u w:val="none"/>
        </w:rPr>
        <w:t> </w:t>
      </w:r>
      <w:r>
        <w:rPr>
          <w:rFonts w:ascii="PT Astra Serif" w:hAnsi="PT Astra Serif"/>
          <w:b w:val="0"/>
          <w:i w:val="0"/>
          <w:caps w:val="0"/>
          <w:strike w:val="0"/>
          <w:color w:val="000000"/>
          <w:spacing w:val="0"/>
          <w:sz w:val="28"/>
          <w:u w:color="000000" w:val="none"/>
        </w:rPr>
        <w:fldChar w:fldCharType="begin"/>
      </w:r>
      <w:r>
        <w:rPr>
          <w:rFonts w:ascii="PT Astra Serif" w:hAnsi="PT Astra Serif"/>
          <w:b w:val="0"/>
          <w:i w:val="0"/>
          <w:caps w:val="0"/>
          <w:strike w:val="0"/>
          <w:color w:val="000000"/>
          <w:spacing w:val="0"/>
          <w:sz w:val="28"/>
          <w:u w:color="000000" w:val="none"/>
        </w:rPr>
        <w:instrText>HYPERLINK "https://internet.garant.ru/#/document/73560110/entry/0"</w:instrText>
      </w:r>
      <w:r>
        <w:rPr>
          <w:rFonts w:ascii="PT Astra Serif" w:hAnsi="PT Astra Serif"/>
          <w:b w:val="0"/>
          <w:i w:val="0"/>
          <w:caps w:val="0"/>
          <w:strike w:val="0"/>
          <w:color w:val="000000"/>
          <w:spacing w:val="0"/>
          <w:sz w:val="28"/>
          <w:u w:color="000000" w:val="none"/>
        </w:rPr>
        <w:fldChar w:fldCharType="separate"/>
      </w:r>
      <w:r>
        <w:rPr>
          <w:rFonts w:ascii="PT Astra Serif" w:hAnsi="PT Astra Serif"/>
          <w:b w:val="0"/>
          <w:i w:val="0"/>
          <w:caps w:val="0"/>
          <w:strike w:val="0"/>
          <w:color w:val="000000"/>
          <w:spacing w:val="0"/>
          <w:sz w:val="28"/>
          <w:u w:color="000000" w:val="none"/>
        </w:rPr>
        <w:t>порядке</w:t>
      </w:r>
      <w:r>
        <w:rPr>
          <w:rFonts w:ascii="PT Astra Serif" w:hAnsi="PT Astra Serif"/>
          <w:b w:val="0"/>
          <w:i w:val="0"/>
          <w:caps w:val="0"/>
          <w:strike w:val="0"/>
          <w:color w:val="000000"/>
          <w:spacing w:val="0"/>
          <w:sz w:val="28"/>
          <w:u w:color="000000" w:val="none"/>
        </w:rPr>
        <w:fldChar w:fldCharType="end"/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u w:val="none"/>
        </w:rPr>
        <w:t>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размещена в государственной информационной системе «Единая централизованная цифровая платформа в социальной сфере.»</w:t>
      </w:r>
      <w:r>
        <w:rPr>
          <w:rFonts w:ascii="PT Astra Serif" w:hAnsi="PT Astra Serif"/>
          <w:color w:val="000000"/>
          <w:sz w:val="28"/>
          <w:u w:val="none"/>
        </w:rPr>
        <w:t>;</w:t>
      </w:r>
    </w:p>
    <w:p w14:paraId="13000000">
      <w:pPr>
        <w:widowControl w:val="0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3) пункт 2.9.2 приложения к постановлению дополнить абзацем 2 следующего содержания: </w:t>
      </w:r>
    </w:p>
    <w:p w14:paraId="14000000">
      <w:pPr>
        <w:widowControl w:val="0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>«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u w:val="none"/>
        </w:rPr>
        <w:t xml:space="preserve">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u w:val="none"/>
        </w:rPr>
        <w:br/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u w:val="none"/>
        </w:rPr>
        <w:t xml:space="preserve">и муниципальных услуг без отображения таких сведений для заявителя получение согласия такого лица или его законного представителя 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u w:val="none"/>
        </w:rPr>
        <w:br/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u w:val="none"/>
        </w:rPr>
        <w:t xml:space="preserve">на обработку персональных данных такого лица в указанных целях 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u w:val="none"/>
        </w:rPr>
        <w:br/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u w:val="none"/>
        </w:rPr>
        <w:t>не требуется.»;</w:t>
      </w:r>
    </w:p>
    <w:p w14:paraId="15000000">
      <w:pPr>
        <w:widowControl w:val="0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u w:val="none"/>
        </w:rPr>
      </w:pP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u w:val="none"/>
        </w:rPr>
        <w:t>4) пункт 3.3 приложения к постановлению изложить в следующей редакции:</w:t>
      </w:r>
    </w:p>
    <w:p w14:paraId="16000000">
      <w:pPr>
        <w:widowControl w:val="0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u w:val="none"/>
        </w:rPr>
        <w:t>«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3.3. При предоставлении муниципальной услуги в электронной форме Заявителю обеспечиваются:</w:t>
      </w:r>
    </w:p>
    <w:p w14:paraId="17000000">
      <w:pPr>
        <w:widowControl w:val="0"/>
        <w:numPr>
          <w:numId w:val="2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получение информации о порядке и сроках предоставления муниципальной услуги;</w:t>
      </w:r>
    </w:p>
    <w:p w14:paraId="18000000">
      <w:pPr>
        <w:widowControl w:val="0"/>
        <w:numPr>
          <w:numId w:val="2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 xml:space="preserve">запись на прием в орган (организацию), многофункциональный центр предоставления государственных и муниципальных услуг (далее - многофункциональный центр) для подачи запроса о предоставлении услуги (далее - запрос), а также в случаях, предусмотренных административным регламентом предоставления услуги, возможность подачи такого запроса 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br/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с одновременной записью на указанный прием;</w:t>
      </w:r>
    </w:p>
    <w:p w14:paraId="19000000">
      <w:pPr>
        <w:widowControl w:val="0"/>
        <w:numPr>
          <w:numId w:val="2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формирование ходатайства;</w:t>
      </w:r>
    </w:p>
    <w:p w14:paraId="1A000000">
      <w:pPr>
        <w:widowControl w:val="0"/>
        <w:numPr>
          <w:numId w:val="2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 xml:space="preserve">прием и регистрация Уполномоченным органом ходатайства 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br/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и иных документов, необходимых для предоставления муниципальной услуги;</w:t>
      </w:r>
    </w:p>
    <w:p w14:paraId="1B000000">
      <w:pPr>
        <w:widowControl w:val="0"/>
        <w:numPr>
          <w:numId w:val="2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получение результата предоставления муниципальной услуги;</w:t>
      </w:r>
    </w:p>
    <w:p w14:paraId="1C000000">
      <w:pPr>
        <w:widowControl w:val="0"/>
        <w:numPr>
          <w:numId w:val="2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получение сведений о ходе рассмотрения ходатайства;</w:t>
      </w:r>
    </w:p>
    <w:p w14:paraId="1D000000">
      <w:pPr>
        <w:widowControl w:val="0"/>
        <w:numPr>
          <w:numId w:val="2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осуществление оценки качества предоставления муниципальной услуги;</w:t>
      </w:r>
    </w:p>
    <w:p w14:paraId="1E000000">
      <w:pPr>
        <w:widowControl w:val="0"/>
        <w:numPr>
          <w:numId w:val="2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служащего.»;</w:t>
      </w:r>
    </w:p>
    <w:p w14:paraId="1F000000">
      <w:pPr>
        <w:widowControl w:val="0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u w:val="none"/>
        </w:rPr>
      </w:pP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u w:val="none"/>
        </w:rPr>
        <w:t xml:space="preserve">5) абзацы 3, 4 пункта 3.4 приложения к постановлению изложить 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u w:val="none"/>
        </w:rPr>
        <w:br/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u w:val="none"/>
        </w:rPr>
        <w:t>в следующей редакции:</w:t>
      </w:r>
    </w:p>
    <w:p w14:paraId="20000000">
      <w:pPr>
        <w:widowControl w:val="0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u w:val="none"/>
        </w:rPr>
      </w:pP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u w:val="none"/>
        </w:rPr>
        <w:t>«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 xml:space="preserve"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br/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 xml:space="preserve">ее устранения посредством информационного сообщения непосредственно 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br/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в электронной форме запроса.</w:t>
      </w:r>
    </w:p>
    <w:p w14:paraId="21000000">
      <w:pPr>
        <w:widowControl w:val="0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u w:val="none"/>
        </w:rPr>
      </w:pP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u w:val="none"/>
        </w:rPr>
        <w:t>При формировании ходатайства Заявителю обеспечивается:</w:t>
      </w:r>
    </w:p>
    <w:p w14:paraId="22000000">
      <w:pPr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u w:val="none"/>
        </w:rPr>
      </w:pP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u w:val="none"/>
        </w:rPr>
        <w:t>1) возможность копирования и сохранения ходатайства и иных документов, указанных в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u w:val="none"/>
        </w:rPr>
        <w:t> </w:t>
      </w:r>
      <w:r>
        <w:rPr>
          <w:rFonts w:ascii="PT Astra Serif" w:hAnsi="PT Astra Serif"/>
          <w:b w:val="0"/>
          <w:i w:val="0"/>
          <w:caps w:val="0"/>
          <w:strike w:val="0"/>
          <w:color w:val="000000"/>
          <w:spacing w:val="0"/>
          <w:sz w:val="28"/>
          <w:u w:color="000000" w:val="none"/>
        </w:rPr>
        <w:fldChar w:fldCharType="begin"/>
      </w:r>
      <w:r>
        <w:rPr>
          <w:rFonts w:ascii="PT Astra Serif" w:hAnsi="PT Astra Serif"/>
          <w:b w:val="0"/>
          <w:i w:val="0"/>
          <w:caps w:val="0"/>
          <w:strike w:val="0"/>
          <w:color w:val="000000"/>
          <w:spacing w:val="0"/>
          <w:sz w:val="28"/>
          <w:u w:color="000000" w:val="none"/>
        </w:rPr>
        <w:instrText>HYPERLINK "https://internet.garant.ru/#/document/405562651/entry/1065"</w:instrText>
      </w:r>
      <w:r>
        <w:rPr>
          <w:rFonts w:ascii="PT Astra Serif" w:hAnsi="PT Astra Serif"/>
          <w:b w:val="0"/>
          <w:i w:val="0"/>
          <w:caps w:val="0"/>
          <w:strike w:val="0"/>
          <w:color w:val="000000"/>
          <w:spacing w:val="0"/>
          <w:sz w:val="28"/>
          <w:u w:color="000000" w:val="none"/>
        </w:rPr>
        <w:fldChar w:fldCharType="separate"/>
      </w:r>
      <w:r>
        <w:rPr>
          <w:rFonts w:ascii="PT Astra Serif" w:hAnsi="PT Astra Serif"/>
          <w:b w:val="0"/>
          <w:i w:val="0"/>
          <w:caps w:val="0"/>
          <w:strike w:val="0"/>
          <w:color w:val="000000"/>
          <w:spacing w:val="0"/>
          <w:sz w:val="28"/>
          <w:u w:color="000000" w:val="none"/>
        </w:rPr>
        <w:t>пунктах 2.9</w:t>
      </w:r>
      <w:r>
        <w:rPr>
          <w:rFonts w:ascii="PT Astra Serif" w:hAnsi="PT Astra Serif"/>
          <w:b w:val="0"/>
          <w:i w:val="0"/>
          <w:caps w:val="0"/>
          <w:strike w:val="0"/>
          <w:color w:val="000000"/>
          <w:spacing w:val="0"/>
          <w:sz w:val="28"/>
          <w:u w:color="000000" w:val="none"/>
        </w:rPr>
        <w:fldChar w:fldCharType="end"/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u w:val="none"/>
        </w:rPr>
        <w:t> 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u w:val="none"/>
        </w:rPr>
        <w:t>настоящего Административного регламента, необходимых для предоставления муниципальной услуги;</w:t>
      </w:r>
    </w:p>
    <w:p w14:paraId="23000000">
      <w:pPr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u w:val="none"/>
        </w:rPr>
      </w:pP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u w:val="none"/>
        </w:rPr>
        <w:t xml:space="preserve">2) 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u w:val="none"/>
        </w:rPr>
        <w:t>возможность заполнения несколькими заявителями одной электронной формы ходатайства при направлении совместного ходатайства несколькими заявителями;</w:t>
      </w:r>
    </w:p>
    <w:p w14:paraId="24000000">
      <w:pPr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u w:val="none"/>
        </w:rPr>
      </w:pP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u w:val="none"/>
        </w:rPr>
        <w:t>3) возможность печати на бумажном носителе копии электронной формы ходатайства;</w:t>
      </w:r>
    </w:p>
    <w:p w14:paraId="25000000">
      <w:pPr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u w:val="none"/>
        </w:rPr>
      </w:pP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u w:val="none"/>
        </w:rPr>
        <w:t>4) сохранение ранее введенных в электронную форму ходатайства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ходатайства;</w:t>
      </w:r>
    </w:p>
    <w:p w14:paraId="26000000">
      <w:pPr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u w:val="none"/>
        </w:rPr>
      </w:pP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u w:val="none"/>
        </w:rPr>
        <w:t>5) заполнение полей электронной формы ходатайства до начала ввода сведений Заявителем с использованием сведений, размещенных в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u w:val="none"/>
        </w:rPr>
        <w:t> </w:t>
      </w:r>
      <w:r>
        <w:rPr>
          <w:rFonts w:ascii="PT Astra Serif" w:hAnsi="PT Astra Serif"/>
          <w:b w:val="0"/>
          <w:i w:val="0"/>
          <w:caps w:val="0"/>
          <w:strike w:val="0"/>
          <w:color w:val="000000"/>
          <w:spacing w:val="0"/>
          <w:sz w:val="28"/>
          <w:u w:color="000000" w:val="none"/>
        </w:rPr>
        <w:fldChar w:fldCharType="begin"/>
      </w:r>
      <w:r>
        <w:rPr>
          <w:rFonts w:ascii="PT Astra Serif" w:hAnsi="PT Astra Serif"/>
          <w:b w:val="0"/>
          <w:i w:val="0"/>
          <w:caps w:val="0"/>
          <w:strike w:val="0"/>
          <w:color w:val="000000"/>
          <w:spacing w:val="0"/>
          <w:sz w:val="28"/>
          <w:u w:color="000000" w:val="none"/>
        </w:rPr>
        <w:instrText>HYPERLINK "https://esia.gosuslugi.ru/"</w:instrText>
      </w:r>
      <w:r>
        <w:rPr>
          <w:rFonts w:ascii="PT Astra Serif" w:hAnsi="PT Astra Serif"/>
          <w:b w:val="0"/>
          <w:i w:val="0"/>
          <w:caps w:val="0"/>
          <w:strike w:val="0"/>
          <w:color w:val="000000"/>
          <w:spacing w:val="0"/>
          <w:sz w:val="28"/>
          <w:u w:color="000000" w:val="none"/>
        </w:rPr>
        <w:fldChar w:fldCharType="separate"/>
      </w:r>
      <w:r>
        <w:rPr>
          <w:rFonts w:ascii="PT Astra Serif" w:hAnsi="PT Astra Serif"/>
          <w:b w:val="0"/>
          <w:i w:val="0"/>
          <w:caps w:val="0"/>
          <w:strike w:val="0"/>
          <w:color w:val="000000"/>
          <w:spacing w:val="0"/>
          <w:sz w:val="28"/>
          <w:u w:color="000000" w:val="none"/>
        </w:rPr>
        <w:t>ЕСИА</w:t>
      </w:r>
      <w:r>
        <w:rPr>
          <w:rFonts w:ascii="PT Astra Serif" w:hAnsi="PT Astra Serif"/>
          <w:b w:val="0"/>
          <w:i w:val="0"/>
          <w:caps w:val="0"/>
          <w:strike w:val="0"/>
          <w:color w:val="000000"/>
          <w:spacing w:val="0"/>
          <w:sz w:val="28"/>
          <w:u w:color="000000" w:val="none"/>
        </w:rPr>
        <w:fldChar w:fldCharType="end"/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u w:val="none"/>
        </w:rPr>
        <w:t>, и сведений, опубликованных на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u w:val="none"/>
        </w:rPr>
        <w:t> </w:t>
      </w:r>
      <w:r>
        <w:rPr>
          <w:rFonts w:ascii="PT Astra Serif" w:hAnsi="PT Astra Serif"/>
          <w:b w:val="0"/>
          <w:i w:val="0"/>
          <w:caps w:val="0"/>
          <w:strike w:val="0"/>
          <w:color w:val="000000"/>
          <w:spacing w:val="0"/>
          <w:sz w:val="28"/>
          <w:u w:color="000000" w:val="none"/>
        </w:rPr>
        <w:fldChar w:fldCharType="begin"/>
      </w:r>
      <w:r>
        <w:rPr>
          <w:rFonts w:ascii="PT Astra Serif" w:hAnsi="PT Astra Serif"/>
          <w:b w:val="0"/>
          <w:i w:val="0"/>
          <w:caps w:val="0"/>
          <w:strike w:val="0"/>
          <w:color w:val="000000"/>
          <w:spacing w:val="0"/>
          <w:sz w:val="28"/>
          <w:u w:color="000000" w:val="none"/>
        </w:rPr>
        <w:instrText>HYPERLINK "http://www.gosuslugi.ru/"</w:instrText>
      </w:r>
      <w:r>
        <w:rPr>
          <w:rFonts w:ascii="PT Astra Serif" w:hAnsi="PT Astra Serif"/>
          <w:b w:val="0"/>
          <w:i w:val="0"/>
          <w:caps w:val="0"/>
          <w:strike w:val="0"/>
          <w:color w:val="000000"/>
          <w:spacing w:val="0"/>
          <w:sz w:val="28"/>
          <w:u w:color="000000" w:val="none"/>
        </w:rPr>
        <w:fldChar w:fldCharType="separate"/>
      </w:r>
      <w:r>
        <w:rPr>
          <w:rFonts w:ascii="PT Astra Serif" w:hAnsi="PT Astra Serif"/>
          <w:b w:val="0"/>
          <w:i w:val="0"/>
          <w:caps w:val="0"/>
          <w:strike w:val="0"/>
          <w:color w:val="000000"/>
          <w:spacing w:val="0"/>
          <w:sz w:val="28"/>
          <w:u w:color="000000" w:val="none"/>
        </w:rPr>
        <w:t>ЕПГУ</w:t>
      </w:r>
      <w:r>
        <w:rPr>
          <w:rFonts w:ascii="PT Astra Serif" w:hAnsi="PT Astra Serif"/>
          <w:b w:val="0"/>
          <w:i w:val="0"/>
          <w:caps w:val="0"/>
          <w:strike w:val="0"/>
          <w:color w:val="000000"/>
          <w:spacing w:val="0"/>
          <w:sz w:val="28"/>
          <w:u w:color="000000" w:val="none"/>
        </w:rPr>
        <w:fldChar w:fldCharType="end"/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u w:val="none"/>
        </w:rPr>
        <w:t>, в части, касающейся сведений, отсутствующих в ЕСИА;</w:t>
      </w:r>
    </w:p>
    <w:p w14:paraId="27000000">
      <w:pPr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u w:val="none"/>
        </w:rPr>
      </w:pP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u w:val="none"/>
        </w:rPr>
        <w:t>6) возможность вернуться на любой из этапов заполнения электронной формы ходатайства без потери ранее введенной информации;</w:t>
      </w:r>
    </w:p>
    <w:p w14:paraId="28000000">
      <w:pPr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u w:val="none"/>
        </w:rPr>
      </w:pP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u w:val="none"/>
        </w:rPr>
        <w:t>7) возможность доступа Заявителя на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u w:val="none"/>
        </w:rPr>
        <w:t> </w:t>
      </w:r>
      <w:r>
        <w:rPr>
          <w:rFonts w:ascii="PT Astra Serif" w:hAnsi="PT Astra Serif"/>
          <w:b w:val="0"/>
          <w:i w:val="0"/>
          <w:caps w:val="0"/>
          <w:strike w:val="0"/>
          <w:color w:val="000000"/>
          <w:spacing w:val="0"/>
          <w:sz w:val="28"/>
          <w:u w:color="000000" w:val="none"/>
        </w:rPr>
        <w:fldChar w:fldCharType="begin"/>
      </w:r>
      <w:r>
        <w:rPr>
          <w:rFonts w:ascii="PT Astra Serif" w:hAnsi="PT Astra Serif"/>
          <w:b w:val="0"/>
          <w:i w:val="0"/>
          <w:caps w:val="0"/>
          <w:strike w:val="0"/>
          <w:color w:val="000000"/>
          <w:spacing w:val="0"/>
          <w:sz w:val="28"/>
          <w:u w:color="000000" w:val="none"/>
        </w:rPr>
        <w:instrText>HYPERLINK "http://www.gosuslugi.ru/"</w:instrText>
      </w:r>
      <w:r>
        <w:rPr>
          <w:rFonts w:ascii="PT Astra Serif" w:hAnsi="PT Astra Serif"/>
          <w:b w:val="0"/>
          <w:i w:val="0"/>
          <w:caps w:val="0"/>
          <w:strike w:val="0"/>
          <w:color w:val="000000"/>
          <w:spacing w:val="0"/>
          <w:sz w:val="28"/>
          <w:u w:color="000000" w:val="none"/>
        </w:rPr>
        <w:fldChar w:fldCharType="separate"/>
      </w:r>
      <w:r>
        <w:rPr>
          <w:rFonts w:ascii="PT Astra Serif" w:hAnsi="PT Astra Serif"/>
          <w:b w:val="0"/>
          <w:i w:val="0"/>
          <w:caps w:val="0"/>
          <w:strike w:val="0"/>
          <w:color w:val="000000"/>
          <w:spacing w:val="0"/>
          <w:sz w:val="28"/>
          <w:u w:color="000000" w:val="none"/>
        </w:rPr>
        <w:t>ЕПГУ</w:t>
      </w:r>
      <w:r>
        <w:rPr>
          <w:rFonts w:ascii="PT Astra Serif" w:hAnsi="PT Astra Serif"/>
          <w:b w:val="0"/>
          <w:i w:val="0"/>
          <w:caps w:val="0"/>
          <w:strike w:val="0"/>
          <w:color w:val="000000"/>
          <w:spacing w:val="0"/>
          <w:sz w:val="28"/>
          <w:u w:color="000000" w:val="none"/>
        </w:rPr>
        <w:fldChar w:fldCharType="end"/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u w:val="none"/>
        </w:rPr>
        <w:t> 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u w:val="none"/>
        </w:rPr>
        <w:t>к ранее поданным им ходатайствам в течение не менее одного года, а также частично сформированных ходатайствам - в течение не менее 3 месяцев.»;</w:t>
      </w:r>
    </w:p>
    <w:p w14:paraId="29000000">
      <w:pPr>
        <w:widowControl w:val="0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u w:val="none"/>
        </w:rPr>
      </w:pP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u w:val="none"/>
        </w:rPr>
        <w:t>6) пункт 3.7 приложения к постановлению изложить в следующей редакции:</w:t>
      </w:r>
    </w:p>
    <w:p w14:paraId="2A000000">
      <w:pPr>
        <w:widowControl w:val="0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u w:val="none"/>
        </w:rPr>
        <w:t xml:space="preserve">«3.7. 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Заявителю в качестве результата предоставления муниципальной услуги обеспечивается по его выбору возможность:</w:t>
      </w:r>
    </w:p>
    <w:p w14:paraId="2B000000">
      <w:pPr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а) получения электронного документа, подписанного с использованием усиленной квалифицированной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 </w:t>
      </w:r>
      <w:r>
        <w:rPr>
          <w:rFonts w:ascii="PT Astra Serif" w:hAnsi="PT Astra Serif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fldChar w:fldCharType="begin"/>
      </w:r>
      <w:r>
        <w:rPr>
          <w:rFonts w:ascii="PT Astra Serif" w:hAnsi="PT Astra Serif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instrText>HYPERLINK "https://internet.garant.ru/#/document/12184522/entry/21"</w:instrText>
      </w:r>
      <w:r>
        <w:rPr>
          <w:rFonts w:ascii="PT Astra Serif" w:hAnsi="PT Astra Serif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fldChar w:fldCharType="separate"/>
      </w:r>
      <w:r>
        <w:rPr>
          <w:rFonts w:ascii="PT Astra Serif" w:hAnsi="PT Astra Serif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t>электронной подписи</w:t>
      </w:r>
      <w:r>
        <w:rPr>
          <w:rFonts w:ascii="PT Astra Serif" w:hAnsi="PT Astra Serif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fldChar w:fldCharType="end"/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;</w:t>
      </w:r>
    </w:p>
    <w:p w14:paraId="2C000000">
      <w:pPr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б) получения информации из государственных (муниципальных) информационных систем, кроме случаев, когда в соответствии с нормативными правовыми актами такая информация требует обязательного ее подписания со стороны органа (организации) усиленной квалифицированной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 </w:t>
      </w:r>
      <w:r>
        <w:rPr>
          <w:rFonts w:ascii="PT Astra Serif" w:hAnsi="PT Astra Serif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fldChar w:fldCharType="begin"/>
      </w:r>
      <w:r>
        <w:rPr>
          <w:rFonts w:ascii="PT Astra Serif" w:hAnsi="PT Astra Serif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instrText>HYPERLINK "https://internet.garant.ru/#/document/12184522/entry/21"</w:instrText>
      </w:r>
      <w:r>
        <w:rPr>
          <w:rFonts w:ascii="PT Astra Serif" w:hAnsi="PT Astra Serif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fldChar w:fldCharType="separate"/>
      </w:r>
      <w:r>
        <w:rPr>
          <w:rFonts w:ascii="PT Astra Serif" w:hAnsi="PT Astra Serif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t>электронной подписью</w:t>
      </w:r>
      <w:r>
        <w:rPr>
          <w:rFonts w:ascii="PT Astra Serif" w:hAnsi="PT Astra Serif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fldChar w:fldCharType="end"/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;</w:t>
      </w:r>
    </w:p>
    <w:p w14:paraId="2D000000">
      <w:pPr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в) внесения изменений в сведения, содержащиеся в государственных (муниципальных) информационных системах на основании информации, содержащейся в запросе и (или) прилагаемых к запросу документах, в случаях, предусмотренных нормативными правовыми актами, регулирующими порядок предоставления услуги;</w:t>
      </w:r>
    </w:p>
    <w:p w14:paraId="2E000000">
      <w:pPr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г) получения с использованием единого портала электронного документа в машиночитаемом формате, подписанного усиленной квалифицированной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 </w:t>
      </w:r>
      <w:r>
        <w:rPr>
          <w:rFonts w:ascii="PT Astra Serif" w:hAnsi="PT Astra Serif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fldChar w:fldCharType="begin"/>
      </w:r>
      <w:r>
        <w:rPr>
          <w:rFonts w:ascii="PT Astra Serif" w:hAnsi="PT Astra Serif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instrText>HYPERLINK "https://internet.garant.ru/#/document/12184522/entry/21"</w:instrText>
      </w:r>
      <w:r>
        <w:rPr>
          <w:rFonts w:ascii="PT Astra Serif" w:hAnsi="PT Astra Serif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fldChar w:fldCharType="separate"/>
      </w:r>
      <w:r>
        <w:rPr>
          <w:rFonts w:ascii="PT Astra Serif" w:hAnsi="PT Astra Serif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t>электронной подписью</w:t>
      </w:r>
      <w:r>
        <w:rPr>
          <w:rFonts w:ascii="PT Astra Serif" w:hAnsi="PT Astra Serif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fldChar w:fldCharType="end"/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 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со стороны органа (организации).»;</w:t>
      </w:r>
    </w:p>
    <w:p w14:paraId="2F000000">
      <w:pPr>
        <w:widowControl w:val="0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u w:val="none"/>
        </w:rPr>
      </w:pP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u w:val="none"/>
        </w:rPr>
        <w:t xml:space="preserve">7) абзац 2 пункта 3.8 приложения к постановлению изложить 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u w:val="none"/>
        </w:rPr>
        <w:br/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u w:val="none"/>
        </w:rPr>
        <w:t>в следующей редакции:</w:t>
      </w:r>
    </w:p>
    <w:p w14:paraId="30000000">
      <w:pPr>
        <w:widowControl w:val="0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>«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При предоставлении муниципальной услуги в электронной форме Заявителю направляется:</w:t>
      </w:r>
    </w:p>
    <w:p w14:paraId="31000000">
      <w:pPr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>а) уведомление о записи на прием в орган (организацию) или многофункциональный центр, содержащее сведения о дате, времени и месте приема;</w:t>
      </w:r>
    </w:p>
    <w:p w14:paraId="32000000">
      <w:pPr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б)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</w:t>
      </w:r>
      <w:r>
        <w:rPr>
          <w:rFonts w:ascii="PT Astra Serif" w:hAnsi="PT Astra Serif"/>
          <w:color w:val="000000"/>
          <w:sz w:val="28"/>
          <w:u w:val="none"/>
        </w:rPr>
        <w:br/>
      </w:r>
      <w:r>
        <w:rPr>
          <w:rFonts w:ascii="PT Astra Serif" w:hAnsi="PT Astra Serif"/>
          <w:color w:val="000000"/>
          <w:sz w:val="28"/>
          <w:u w:val="none"/>
        </w:rPr>
        <w:t xml:space="preserve">и начале процедуры предоставления услуги, а также сведения о дате </w:t>
      </w:r>
      <w:r>
        <w:rPr>
          <w:rFonts w:ascii="PT Astra Serif" w:hAnsi="PT Astra Serif"/>
          <w:color w:val="000000"/>
          <w:sz w:val="28"/>
          <w:u w:val="none"/>
        </w:rPr>
        <w:br/>
      </w:r>
      <w:r>
        <w:rPr>
          <w:rFonts w:ascii="PT Astra Serif" w:hAnsi="PT Astra Serif"/>
          <w:color w:val="000000"/>
          <w:sz w:val="28"/>
          <w:u w:val="none"/>
        </w:rPr>
        <w:t xml:space="preserve">и времени окончания предоставления услуги либо мотивированный отказ </w:t>
      </w:r>
      <w:r>
        <w:rPr>
          <w:rFonts w:ascii="PT Astra Serif" w:hAnsi="PT Astra Serif"/>
          <w:color w:val="000000"/>
          <w:sz w:val="28"/>
          <w:u w:val="none"/>
        </w:rPr>
        <w:br/>
      </w:r>
      <w:r>
        <w:rPr>
          <w:rFonts w:ascii="PT Astra Serif" w:hAnsi="PT Astra Serif"/>
          <w:color w:val="000000"/>
          <w:sz w:val="28"/>
          <w:u w:val="none"/>
        </w:rPr>
        <w:t>в приеме запроса и иных документов, необходимых для предоставления услуги;</w:t>
      </w:r>
    </w:p>
    <w:p w14:paraId="33000000">
      <w:pPr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>в)</w:t>
      </w:r>
      <w:r>
        <w:rPr>
          <w:rFonts w:ascii="PT Astra Serif" w:hAnsi="PT Astra Serif"/>
          <w:color w:val="000000"/>
          <w:sz w:val="28"/>
          <w:u w:val="none"/>
        </w:rPr>
        <w:t xml:space="preserve">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</w:t>
      </w:r>
      <w:r>
        <w:rPr>
          <w:rFonts w:ascii="PT Astra Serif" w:hAnsi="PT Astra Serif"/>
          <w:color w:val="000000"/>
          <w:sz w:val="28"/>
          <w:u w:val="none"/>
        </w:rPr>
        <w:br/>
      </w:r>
      <w:r>
        <w:rPr>
          <w:rFonts w:ascii="PT Astra Serif" w:hAnsi="PT Astra Serif"/>
          <w:color w:val="000000"/>
          <w:sz w:val="28"/>
          <w:u w:val="none"/>
        </w:rPr>
        <w:t>в предоставлении услуги»;</w:t>
      </w:r>
    </w:p>
    <w:p w14:paraId="34000000">
      <w:pPr>
        <w:widowControl w:val="0"/>
        <w:spacing w:after="0" w:before="0" w:line="240" w:lineRule="auto"/>
        <w:ind w:hanging="11" w:left="720"/>
        <w:contextualSpacing w:val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8) разделы IV, V приложения к постановлению исключить. </w:t>
      </w:r>
    </w:p>
    <w:p w14:paraId="35000000">
      <w:pPr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Настоящее постановление вступает в силу после его официального опубликования.</w:t>
      </w:r>
    </w:p>
    <w:p w14:paraId="36000000">
      <w:pPr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Службе внешних связей и молодёжной политики администрации города Магнитогорска (Числова Г.Д.) опубликовать настоящее постановление в средствах массовой информации.</w:t>
      </w:r>
    </w:p>
    <w:p w14:paraId="37000000">
      <w:pPr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 Контроль исполнения настоящего постановления возложить на заместителя главы города Магнитогорска Хабибуллину Д.Х.</w:t>
      </w:r>
    </w:p>
    <w:p w14:paraId="38000000">
      <w:pPr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9000000">
      <w:pPr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A000000">
      <w:pPr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       С.Н. Бердников</w:t>
      </w:r>
    </w:p>
    <w:p w14:paraId="3B000000">
      <w:pPr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C000000">
      <w:pPr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D000000">
      <w:pPr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sectPr>
      <w:headerReference r:id="rId1" w:type="default"/>
      <w:footerReference r:id="rId2" w:type="first"/>
      <w:pgSz w:h="16848" w:orient="portrait" w:w="11908"/>
      <w:pgMar w:bottom="832" w:footer="709" w:gutter="0" w:header="709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Вр-2368699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0"/>
        <w:ind w:hanging="360" w:left="720"/>
      </w:pPr>
    </w:lvl>
    <w:lvl w:ilvl="1">
      <w:start w:val="1"/>
      <w:numFmt w:val="lowerLetter"/>
      <w:lvlText w:val="%2."/>
      <w:pPr>
        <w:widowControl w:val="0"/>
        <w:ind w:hanging="360" w:left="1440"/>
      </w:pPr>
    </w:lvl>
    <w:lvl w:ilvl="2">
      <w:start w:val="1"/>
      <w:numFmt w:val="lowerRoman"/>
      <w:lvlText w:val="%3."/>
      <w:lvlJc w:val="right"/>
      <w:pPr>
        <w:widowControl w:val="0"/>
        <w:ind w:hanging="360" w:left="2160"/>
      </w:pPr>
    </w:lvl>
    <w:lvl w:ilvl="3">
      <w:start w:val="1"/>
      <w:numFmt w:val="decimal"/>
      <w:lvlText w:val="%4."/>
      <w:pPr>
        <w:widowControl w:val="0"/>
        <w:ind w:hanging="360" w:left="2880"/>
      </w:pPr>
    </w:lvl>
    <w:lvl w:ilvl="4">
      <w:start w:val="1"/>
      <w:numFmt w:val="lowerLetter"/>
      <w:lvlText w:val="%5."/>
      <w:pPr>
        <w:widowControl w:val="0"/>
        <w:ind w:hanging="360" w:left="3600"/>
      </w:pPr>
    </w:lvl>
    <w:lvl w:ilvl="5">
      <w:start w:val="1"/>
      <w:numFmt w:val="lowerRoman"/>
      <w:lvlText w:val="%6."/>
      <w:lvlJc w:val="right"/>
      <w:pPr>
        <w:widowControl w:val="0"/>
        <w:ind w:hanging="360" w:left="4320"/>
      </w:pPr>
    </w:lvl>
    <w:lvl w:ilvl="6">
      <w:start w:val="1"/>
      <w:numFmt w:val="decimal"/>
      <w:lvlText w:val="%7."/>
      <w:pPr>
        <w:widowControl w:val="0"/>
        <w:ind w:hanging="360" w:left="5040"/>
      </w:pPr>
    </w:lvl>
    <w:lvl w:ilvl="7">
      <w:start w:val="1"/>
      <w:numFmt w:val="lowerLetter"/>
      <w:lvlText w:val="%8."/>
      <w:pPr>
        <w:widowControl w:val="0"/>
        <w:ind w:hanging="360" w:left="5760"/>
      </w:pPr>
    </w:lvl>
    <w:lvl w:ilvl="8">
      <w:start w:val="1"/>
      <w:numFmt w:val="lowerRoman"/>
      <w:lvlText w:val="%9."/>
      <w:lvlJc w:val="right"/>
      <w:pPr>
        <w:widowControl w:val="0"/>
        <w:ind w:hanging="360" w:left="6480"/>
      </w:pPr>
    </w:lvl>
  </w:abstractNum>
  <w:abstractNum w:abstractNumId="1">
    <w:lvl w:ilvl="0">
      <w:start w:val="1"/>
      <w:numFmt w:val="russianLower"/>
      <w:lvlText w:val="%1)"/>
      <w:pPr>
        <w:widowControl w:val="0"/>
        <w:ind w:hanging="360" w:left="720"/>
      </w:pPr>
    </w:lvl>
    <w:lvl w:ilvl="1">
      <w:start w:val="1"/>
      <w:numFmt w:val="decimal"/>
      <w:lvlText w:val="%2)"/>
      <w:pPr>
        <w:widowControl w:val="0"/>
        <w:ind w:hanging="360" w:left="1440"/>
      </w:pPr>
    </w:lvl>
    <w:lvl w:ilvl="2">
      <w:start w:val="1"/>
      <w:numFmt w:val="lowerRoman"/>
      <w:lvlText w:val="%3)"/>
      <w:lvlJc w:val="right"/>
      <w:pPr>
        <w:widowControl w:val="0"/>
        <w:ind w:hanging="360" w:left="2160"/>
      </w:pPr>
    </w:lvl>
    <w:lvl w:ilvl="3">
      <w:start w:val="1"/>
      <w:numFmt w:val="russianLower"/>
      <w:lvlText w:val="%4)"/>
      <w:pPr>
        <w:widowControl w:val="0"/>
        <w:ind w:hanging="360" w:left="2880"/>
      </w:pPr>
    </w:lvl>
    <w:lvl w:ilvl="4">
      <w:start w:val="1"/>
      <w:numFmt w:val="decimal"/>
      <w:lvlText w:val="%5)"/>
      <w:pPr>
        <w:widowControl w:val="0"/>
        <w:ind w:hanging="360" w:left="3600"/>
      </w:pPr>
    </w:lvl>
    <w:lvl w:ilvl="5">
      <w:start w:val="1"/>
      <w:numFmt w:val="lowerRoman"/>
      <w:lvlText w:val="%6)"/>
      <w:lvlJc w:val="right"/>
      <w:pPr>
        <w:widowControl w:val="0"/>
        <w:ind w:hanging="360" w:left="4320"/>
      </w:pPr>
    </w:lvl>
    <w:lvl w:ilvl="6">
      <w:start w:val="1"/>
      <w:numFmt w:val="russianLower"/>
      <w:lvlText w:val="%7)"/>
      <w:pPr>
        <w:widowControl w:val="0"/>
        <w:ind w:hanging="360" w:left="5040"/>
      </w:pPr>
    </w:lvl>
    <w:lvl w:ilvl="7">
      <w:start w:val="1"/>
      <w:numFmt w:val="decimal"/>
      <w:lvlText w:val="%8)"/>
      <w:pPr>
        <w:widowControl w:val="0"/>
        <w:ind w:hanging="360" w:left="5760"/>
      </w:pPr>
    </w:lvl>
    <w:lvl w:ilvl="8">
      <w:start w:val="1"/>
      <w:numFmt w:val="lowerRoman"/>
      <w:lvlText w:val="%9)"/>
      <w:lvlJc w:val="right"/>
      <w:pPr>
        <w:widowControl w:val="0"/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" w:type="paragraph">
    <w:name w:val="header"/>
    <w:basedOn w:val="Style_4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1" w:type="paragraph">
    <w:name w:val="toc 3"/>
    <w:next w:val="Style_4"/>
    <w:link w:val="Style_11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5"/>
    <w:next w:val="Style_4"/>
    <w:link w:val="Style_13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3" w:type="paragraph">
    <w:name w:val="Hyperlink"/>
    <w:link w:val="Style_3_ch"/>
    <w:rPr>
      <w:color w:val="0000FF"/>
      <w:u w:val="single"/>
    </w:rPr>
  </w:style>
  <w:style w:styleId="Style_3_ch" w:type="character">
    <w:name w:val="Hyperlink"/>
    <w:link w:val="Style_3"/>
    <w:rPr>
      <w:color w:val="0000FF"/>
      <w:u w:val="single"/>
    </w:rPr>
  </w:style>
  <w:style w:styleId="Style_15" w:type="paragraph">
    <w:name w:val="Footnote"/>
    <w:link w:val="Style_15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4"/>
    <w:link w:val="Style_16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2" w:type="paragraph">
    <w:name w:val="footer"/>
    <w:basedOn w:val="Style_4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4_ch"/>
    <w:link w:val="Style_2"/>
  </w:style>
  <w:style w:styleId="Style_18" w:type="paragraph">
    <w:name w:val="toc 9"/>
    <w:next w:val="Style_4"/>
    <w:link w:val="Style_1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4"/>
    <w:link w:val="Style_19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Balloon Text"/>
    <w:basedOn w:val="Style_4"/>
    <w:link w:val="Style_20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20_ch" w:type="character">
    <w:name w:val="Balloon Text"/>
    <w:basedOn w:val="Style_4_ch"/>
    <w:link w:val="Style_20"/>
    <w:rPr>
      <w:rFonts w:ascii="Tahoma" w:hAnsi="Tahoma"/>
      <w:sz w:val="16"/>
    </w:rPr>
  </w:style>
  <w:style w:styleId="Style_21" w:type="paragraph">
    <w:name w:val="toc 5"/>
    <w:next w:val="Style_4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4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4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4"/>
    <w:link w:val="Style_2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4"/>
    <w:link w:val="Style_2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26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2026-05-05T03:48:09Z</dcterms:created>
  <dcterms:modified xsi:type="dcterms:W3CDTF">2026-05-05T08:46:30Z</dcterms:modified>
</cp:coreProperties>
</file>