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7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9000000">
      <w:pPr>
        <w:numPr>
          <w:ilvl w:val="0"/>
          <w:numId w:val="0"/>
        </w:numPr>
        <w:rPr>
          <w:spacing w:val="-4"/>
          <w:sz w:val="28"/>
        </w:rPr>
      </w:pPr>
    </w:p>
    <w:p w14:paraId="1A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1718</w:t>
      </w:r>
      <w:r>
        <w:rPr>
          <w:spacing w:val="-4"/>
          <w:sz w:val="28"/>
        </w:rPr>
        <w:t>-П</w:t>
      </w:r>
    </w:p>
    <w:p w14:paraId="1B000000">
      <w:pPr>
        <w:pStyle w:val="Style_3"/>
        <w:widowControl w:val="1"/>
        <w:numPr>
          <w:ilvl w:val="0"/>
          <w:numId w:val="0"/>
        </w:numPr>
        <w:tabs>
          <w:tab w:leader="none" w:pos="720" w:val="clear"/>
          <w:tab w:leader="none" w:pos="5103" w:val="center"/>
        </w:tabs>
        <w:spacing w:after="0" w:before="0" w:line="240" w:lineRule="auto"/>
        <w:ind w:firstLine="0" w:left="0" w:right="4819"/>
        <w:outlineLvl w:val="1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>О проведении</w:t>
      </w:r>
      <w:r>
        <w:rPr>
          <w:rFonts w:ascii="PT Astra Serif" w:hAnsi="PT Astra Serif"/>
          <w:b w:val="1"/>
          <w:color w:themeColor="text1" w:val="000000"/>
          <w:sz w:val="28"/>
        </w:rPr>
        <w:t xml:space="preserve"> </w:t>
      </w:r>
      <w:r>
        <w:rPr>
          <w:rFonts w:ascii="PT Astra Serif" w:hAnsi="PT Astra Serif"/>
          <w:color w:themeColor="text1" w:val="000000"/>
          <w:sz w:val="28"/>
        </w:rPr>
        <w:t>смотра-конкурса на лучшее защитное сооружение гражданской обороны на территории города Магнитогорска в 2026 году</w:t>
      </w: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Во исполнение приказов МЧС Российской Федерации от 05.04.1996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№ 225 «О сохранении фонда средств коллективной защиты», от 15.12.2002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8"/>
          <w:u w:val="none"/>
        </w:rPr>
        <w:instrText>HYPERLINK "consultantplus://offline/ref=3DFCB229F88EBF42AAD7E7124D3DB3AED4B98006A548E9331D3DEEDAABd1Q5E"</w:instrTex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8"/>
          <w:u w:val="none"/>
        </w:rPr>
        <w:t>№ 583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pacing w:val="-6"/>
          <w:sz w:val="28"/>
        </w:rPr>
        <w:t xml:space="preserve"> «Об утверждении и введении в действие Правил эксплуатации</w:t>
      </w:r>
      <w:r>
        <w:rPr>
          <w:rFonts w:ascii="PT Astra Serif" w:hAnsi="PT Astra Serif"/>
          <w:color w:val="000000"/>
          <w:sz w:val="28"/>
        </w:rPr>
        <w:t xml:space="preserve"> защитных сооружений гражданской обороны», от 21.07.2005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"consultantplus://offline/ref=3DFCB229F88EBF42AAD7E7124D3DB3AED7B08E07A14CE9331D3DEEDAABd1Q5E"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№ 575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«Об утверждении Порядка содержания и использования защитных сооружений гражданской обороны в мирное время», в соответствии с Положением о проведении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смотра-конкурса на лучшее защитное сооружение гражданской обороны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субъектах Российской Федерации, муниципальных образованиях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организациях, утвержденным приказом МЧС России от 04.02.2022 № 70, руководствуясь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"consultantplus://offline/ref=3DFCB229F88EBF42AAD7F91F5B51ECA5DFB3D80BA74DEB67446CE88DF44588AFFEdCQ8E"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Уставом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20000000">
      <w:pPr>
        <w:pStyle w:val="Style_3"/>
        <w:widowControl w:val="1"/>
        <w:numPr>
          <w:ilvl w:val="0"/>
          <w:numId w:val="0"/>
        </w:numPr>
        <w:tabs>
          <w:tab w:leader="none" w:pos="720" w:val="clear"/>
          <w:tab w:leader="none" w:pos="993" w:val="left"/>
          <w:tab w:leader="none" w:pos="5103" w:val="center"/>
        </w:tabs>
        <w:spacing w:after="0" w:before="0" w:line="240" w:lineRule="auto"/>
        <w:ind w:firstLine="709" w:left="0" w:right="0"/>
        <w:jc w:val="both"/>
        <w:outlineLvl w:val="1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pacing w:val="-6"/>
          <w:sz w:val="28"/>
        </w:rPr>
        <w:t>Провести смотр-конкурс на лучшее защитное сооружение</w:t>
      </w:r>
      <w:r>
        <w:rPr>
          <w:rFonts w:ascii="PT Astra Serif" w:hAnsi="PT Astra Serif"/>
          <w:color w:val="000000"/>
          <w:sz w:val="28"/>
        </w:rPr>
        <w:t xml:space="preserve"> гражданской обороны на территории города Магнитогорска в 2026 году (далее –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смотр-конкурс) с 16.03.2026 по 31.05.2026. </w:t>
      </w:r>
    </w:p>
    <w:p w14:paraId="21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Утвердить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"../../../C:/Users/chuprina_i/Desktop/%D0%A1%D0%BC%D0%BE%D1%82%D1%80-%20%D0%BA%D0%BE%D0%BD%D0%BA%D1%83%D1%80%D1%81%20-%202019/%D0%9F%D1%80%D0%BE%D0%B5%D0%BA%D1%82%20%D0%9F%D0%BE%D1%81%D1%82.(%20%D0%97%D0%A1%20(%20%D0%BA%D0%BE%D0%BD%D0%BA%D1%83%D1%80%D1%81).docx#Par49"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Положение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о смотре-конкурсе (далее – Положение) (приложение № 1).</w:t>
      </w:r>
    </w:p>
    <w:p w14:paraId="22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Утвердить состав комиссии по оценке результатов проведения смотра-конкурса (приложение № 2).</w:t>
      </w:r>
    </w:p>
    <w:p w14:paraId="23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Рекомендовать руководителям учреждений и организаций города, имеющим на ответственном хранении и в пользовании защитные сооружения гражданской обороны:</w:t>
      </w:r>
    </w:p>
    <w:p w14:paraId="24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pacing w:val="-6"/>
          <w:sz w:val="28"/>
        </w:rPr>
        <w:t>утвердить внутренними приказами объектовые комиссии по проверке защитных</w:t>
      </w:r>
      <w:r>
        <w:rPr>
          <w:rFonts w:ascii="PT Astra Serif" w:hAnsi="PT Astra Serif"/>
          <w:color w:val="000000"/>
          <w:sz w:val="28"/>
        </w:rPr>
        <w:t xml:space="preserve"> сооружений гражданской обороны;</w:t>
      </w:r>
    </w:p>
    <w:p w14:paraId="25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провести проверку защитных сооружений гражданской </w:t>
      </w:r>
      <w:r>
        <w:rPr>
          <w:rFonts w:ascii="PT Astra Serif" w:hAnsi="PT Astra Serif"/>
          <w:color w:val="000000"/>
          <w:spacing w:val="-6"/>
          <w:sz w:val="28"/>
        </w:rPr>
        <w:t xml:space="preserve">обороны </w:t>
      </w:r>
      <w:r>
        <w:rPr>
          <w:rFonts w:ascii="PT Astra Serif" w:hAnsi="PT Astra Serif"/>
          <w:color w:val="000000"/>
          <w:spacing w:val="-6"/>
          <w:sz w:val="28"/>
        </w:rPr>
        <w:br/>
      </w:r>
      <w:r>
        <w:rPr>
          <w:rFonts w:ascii="PT Astra Serif" w:hAnsi="PT Astra Serif"/>
          <w:color w:val="000000"/>
          <w:spacing w:val="-6"/>
          <w:sz w:val="28"/>
        </w:rPr>
        <w:t xml:space="preserve">в соответствии с 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8"/>
          <w:u w:val="none"/>
        </w:rPr>
        <w:instrText>HYPERLINK "../../../C:/Users/chuprina_i/Desktop/%D0%A1%D0%BC%D0%BE%D1%82%D1%80-%20%D0%BA%D0%BE%D0%BD%D0%BA%D1%83%D1%80%D1%81%20-%202019/%D0%9F%D1%80%D0%BE%D0%B5%D0%BA%D1%82%20%D0%9F%D0%BE%D1%81%D1%82.(%20%D0%97%D0%A1%20(%20%D0%BA%D0%BE%D0%BD%D0%BA%D1%83%D1%80%D1%81).docx#Par49"</w:instrTex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8"/>
          <w:u w:val="none"/>
        </w:rPr>
        <w:t>Положением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pacing w:val="-6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 16.03.2026 по 20.05.2026;</w:t>
      </w:r>
    </w:p>
    <w:p w14:paraId="26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3) уделить особое внимание на обеспечение сохранности накопленных средств коллективной защиты, а также правилам содержания и эксплуатации защитных сооружений гражданской обороны;</w:t>
      </w:r>
    </w:p>
    <w:p w14:paraId="27000000">
      <w:pPr>
        <w:pStyle w:val="Style_3"/>
        <w:widowControl w:val="1"/>
        <w:numPr>
          <w:ilvl w:val="0"/>
          <w:numId w:val="0"/>
        </w:numPr>
        <w:tabs>
          <w:tab w:leader="none" w:pos="720" w:val="clear"/>
          <w:tab w:leader="none" w:pos="993" w:val="left"/>
          <w:tab w:leader="none" w:pos="5103" w:val="center"/>
        </w:tabs>
        <w:spacing w:after="0" w:before="0" w:line="240" w:lineRule="auto"/>
        <w:ind w:firstLine="709" w:left="0" w:right="0"/>
        <w:jc w:val="both"/>
        <w:outlineLvl w:val="1"/>
      </w:pPr>
      <w:r>
        <w:rPr>
          <w:rFonts w:ascii="PT Astra Serif" w:hAnsi="PT Astra Serif"/>
          <w:color w:val="000000"/>
          <w:sz w:val="28"/>
        </w:rPr>
        <w:t>4)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предоставить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"../../../C:/Users/chuprina_i/Desktop/%D0%A1%D0%BC%D0%BE%D1%82%D1%80-%20%D0%BA%D0%BE%D0%BD%D0%BA%D1%83%D1%80%D1%81%20-%202019/%D0%9F%D1%80%D0%BE%D0%B5%D0%BA%D1%82%20%D0%9F%D0%BE%D1%81%D1%82.(%20%D0%97%D0%A1%20(%20%D0%BA%D0%BE%D0%BD%D0%BA%D1%83%D1%80%D1%81).docx#Par216"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протоколы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состояния защитных сооружений гражданской обороны, представленных на смотр-конкурс, с приложением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"../../../C:/Users/chuprina_i/Desktop/%D0%A1%D0%BC%D0%BE%D1%82%D1%80-%20%D0%BA%D0%BE%D0%BD%D0%BA%D1%83%D1%80%D1%81%20-%202019/%D0%9F%D1%80%D0%BE%D0%B5%D0%BA%D1%82%20%D0%9F%D0%BE%D1%81%D1%82.(%20%D0%97%D0%A1%20(%20%D0%BA%D0%BE%D0%BD%D0%BA%D1%83%D1%80%D1%81).docx#Par268"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таблицы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оценки готовности защитных сооружений гражданской обороны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фотоматериалов, отражающих реальное состояние защитных сооружений гражданской обороны, в управление гражданской защиты населения администрации города Магнитогорска до 22.05.2026.</w:t>
      </w:r>
    </w:p>
    <w:p w14:paraId="28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5.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29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color w:val="000000"/>
          <w:spacing w:val="-2"/>
          <w:sz w:val="28"/>
        </w:rPr>
        <w:t>города</w:t>
      </w:r>
      <w:r>
        <w:rPr>
          <w:rFonts w:ascii="PT Astra Serif" w:hAnsi="PT Astra Serif"/>
          <w:color w:val="000000"/>
          <w:sz w:val="28"/>
        </w:rPr>
        <w:t xml:space="preserve"> Магнитогорска</w:t>
      </w:r>
      <w:r>
        <w:rPr>
          <w:rFonts w:ascii="PT Astra Serif" w:hAnsi="PT Astra Serif"/>
          <w:color w:val="000000"/>
          <w:spacing w:val="-2"/>
          <w:sz w:val="28"/>
        </w:rPr>
        <w:t xml:space="preserve">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8"/>
        </w:rPr>
        <w:t xml:space="preserve"> сайте администрации города Магнитогорска.</w:t>
      </w:r>
    </w:p>
    <w:p w14:paraId="2A000000">
      <w:pPr>
        <w:pStyle w:val="Style_3"/>
        <w:widowControl w:val="1"/>
        <w:tabs>
          <w:tab w:leader="none" w:pos="720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7.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Москалева М.В.</w:t>
      </w: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800080"/>
          <w:sz w:val="24"/>
        </w:rPr>
      </w:pPr>
    </w:p>
    <w:p w14:paraId="43000000">
      <w:pPr>
        <w:sectPr>
          <w:headerReference r:id="rId13" w:type="default"/>
          <w:headerReference r:id="rId11" w:type="first"/>
          <w:headerReference r:id="rId5" w:type="even"/>
          <w:footerReference r:id="rId14" w:type="default"/>
          <w:footerReference r:id="rId12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44000000">
      <w:pPr>
        <w:pStyle w:val="Style_3"/>
        <w:widowControl w:val="1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Приложение № 1</w:t>
      </w:r>
    </w:p>
    <w:p w14:paraId="45000000">
      <w:pPr>
        <w:pStyle w:val="Style_3"/>
        <w:widowControl w:val="1"/>
        <w:spacing w:after="0" w:before="0" w:line="240" w:lineRule="auto"/>
        <w:ind w:hanging="425" w:left="567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к постановлению администрации </w:t>
      </w:r>
    </w:p>
    <w:p w14:paraId="46000000">
      <w:pPr>
        <w:pStyle w:val="Style_3"/>
        <w:widowControl w:val="1"/>
        <w:spacing w:after="0" w:before="0" w:line="240" w:lineRule="auto"/>
        <w:ind w:hanging="425" w:left="567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47000000">
      <w:pPr>
        <w:pStyle w:val="Style_3"/>
        <w:widowControl w:val="1"/>
        <w:spacing w:after="0" w:before="0" w:line="240" w:lineRule="auto"/>
        <w:ind w:firstLine="5245" w:left="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от 12.03.2026 № 1718-П</w:t>
      </w:r>
    </w:p>
    <w:p w14:paraId="4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4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1"/>
        <w:rPr>
          <w:rFonts w:ascii="PT Astra Serif" w:hAnsi="PT Astra Serif"/>
        </w:rPr>
      </w:pPr>
      <w:bookmarkStart w:id="1" w:name="Par49"/>
      <w:bookmarkEnd w:id="1"/>
      <w:r>
        <w:rPr>
          <w:rFonts w:ascii="PT Astra Serif" w:hAnsi="PT Astra Serif"/>
          <w:color w:val="000000"/>
          <w:sz w:val="28"/>
        </w:rPr>
        <w:t>Положение</w:t>
      </w:r>
    </w:p>
    <w:p w14:paraId="4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о смотре-конкурсе на лучшее защитное сооружение гражданской обороны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территории города Магнитогорска в 2026 году</w:t>
      </w:r>
    </w:p>
    <w:p w14:paraId="4B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C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Положение о смотре-конкурсе на лучшее защитное сооружение гражданской обороны на территории города Магнитогорска в 2026 году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(далее – Положение) устанавливает порядок проверки и оценки состояния защитных сооружений гражданской обороны (далее – ЗС ГО), расположенных на территории города Магнитогорска независимо от ведомственной принадлежности и формы собственности, которые представляются для участия в смотре-конкурсе.</w:t>
      </w:r>
    </w:p>
    <w:p w14:paraId="4D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Правовой основой проведения смотра-конкурса на лучшее защитное сооружение гражданской обороны на территории города Магнитогорска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2026 году (далее – смотр-конкурс) являются Федеральные законы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21.12.1994 №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"consultantplus://offline/ref=3DFCB229F88EBF42AAD7E7124D3DB3AED4B88607A44FE9331D3DEEDAABd1Q5E"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 xml:space="preserve"> 68-ФЗ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 защите населения и территорий от чрезвычайных ситуаций природного и техногенного характера», от 12.02.1998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"consultantplus://offline/ref=3DFCB229F88EBF42AAD7E7124D3DB3AED7B18701A049E9331D3DEEDAABd1Q5E"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№ 28-ФЗ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«О гражданской обороне», постановления Правительства Российской Федерации от 23.04.1994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"consultantplus://offline/ref=3DFCB229F88EBF42AAD7E7124D3DB3AED4BC8301AD18BE314C68E0dDQFE"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№ 359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от 29.11.1999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"consultantplus://offline/ref=3DFCB229F88EBF42AAD7E7124D3DB3AED7B08502A346E9331D3DEEDAABd1Q5E"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№ 1309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 порядке создания убежищ и иных объектов гражданской обороны», приказы МЧС Российской Федерации от 05.04.1996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№ 225 «О сохранении фонда средств коллективной защиты», от 15.12.2002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"consultantplus://offline/ref=3DFCB229F88EBF42AAD7E7124D3DB3AED4B98006A548E9331D3DEEDAABd1Q5E"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№ 583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«Об утверждении и введении в действие Правил эксплуатации защитных сооружений гражданской обороны».</w:t>
      </w:r>
    </w:p>
    <w:p w14:paraId="4E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Целями и задачами смотра-конкурса являются:</w:t>
      </w:r>
    </w:p>
    <w:p w14:paraId="4F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оценка состояния работы организаций и учреждений по совершенствованию защиты и жизнеобеспечения населения, обеспечению бесперебойного функционирования объектов экономики в условиях возможных чрезвычайных ситуаций природного и техногенного характера,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а также военного времени;</w:t>
      </w:r>
    </w:p>
    <w:p w14:paraId="50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сохранение имеющегося фонда ЗС ГО, обеспечение требуемых условий их содержания и эксплуатации, поддержание в постоянной готовности к использованию по предназначению;</w:t>
      </w:r>
    </w:p>
    <w:p w14:paraId="51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формирование общественного мнения о важности и необходимости заблаговременного проведения инженерно-технических мероприятий гражданской обороны, связанных с предоставлением населению средств коллективной защиты;</w:t>
      </w:r>
    </w:p>
    <w:p w14:paraId="52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выявление эффективных форм и способов использования фонда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ЗС ГО в условиях мирного времени для поддержания в готовности к приему укрываемого населения;</w:t>
      </w:r>
    </w:p>
    <w:p w14:paraId="53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распространение передового опыта работы организаций и учреждений по вопросам содержания, эксплуатации и использования ЗС ГО;</w:t>
      </w:r>
    </w:p>
    <w:p w14:paraId="54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выявление нарушений правил эксплуатации, содержания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использования ЗС ГО;</w:t>
      </w:r>
    </w:p>
    <w:p w14:paraId="5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7) обеспечение постоянного контроля за ведением учета ЗС ГО, их состоянием и использованием.</w:t>
      </w:r>
    </w:p>
    <w:p w14:paraId="56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Смотр-конкурс на лучшее защитное сооружение гражданской обороны проводится ежегодно в два этапа.</w:t>
      </w:r>
    </w:p>
    <w:p w14:paraId="5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На первом этапе объектовыми комиссиями проверяется состояние и документация всех имеющихся ЗС ГО, определяются убежища, которые участвуют в смотре-конкурсе.</w:t>
      </w:r>
    </w:p>
    <w:p w14:paraId="58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На втором этапе проведения смотра-конкурса комиссия по оценке результатов проведения смотра-конкурса в соответствии с представленной информацией определяет лучшее ЗС ГО города.</w:t>
      </w:r>
    </w:p>
    <w:p w14:paraId="5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По итогам проведения второго этапа смотра-конкурса комиссия по оценке результатов проведения смотра-конкурса определяет лучшие ЗС ГО города, которые будут представлены для участия в смотре-конкурсе лучших ЗС ГО Челябинской области.</w:t>
      </w:r>
    </w:p>
    <w:p w14:paraId="5A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Объектовые комиссии назначаются решениями руководителей гражданской обороны организаций города, имеющих на ответственном хранении и пользовании убежища гражданской обороны, и возглавляются одним из его заместителей. В состав объектовых комиссий включаются работники организаций, уполномоченные на решение задач в области гражданской обороны и чрезвычайных ситуаций.</w:t>
      </w:r>
    </w:p>
    <w:p w14:paraId="5B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5. Участие в смотре-конкурсе является добровольным.</w:t>
      </w:r>
    </w:p>
    <w:p w14:paraId="5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6. Смотр-конкурс организовывается и проводится в отношении убежищ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учетом их вместимости, разделенных на следующие группы:</w:t>
      </w:r>
    </w:p>
    <w:p w14:paraId="5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1 группа – убежища вместимостью до 150 человек;</w:t>
      </w:r>
    </w:p>
    <w:p w14:paraId="5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2 группа – убежища вместимостью от 150 до 600 человек;</w:t>
      </w:r>
    </w:p>
    <w:p w14:paraId="5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3 группа – убежища вместимостью от 600 человек и более.</w:t>
      </w:r>
    </w:p>
    <w:p w14:paraId="6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 каждой группе присуждаются три призовых места.</w:t>
      </w:r>
    </w:p>
    <w:p w14:paraId="6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Призеры смотров-конкурсов лучши</w:t>
      </w:r>
      <w:bookmarkStart w:id="2" w:name="_GoBack_Копия_1"/>
      <w:bookmarkEnd w:id="2"/>
      <w:r>
        <w:rPr>
          <w:rFonts w:ascii="Times New Roman" w:hAnsi="Times New Roman"/>
          <w:color w:val="000000"/>
          <w:sz w:val="28"/>
        </w:rPr>
        <w:t>х ЗС ГО субъектов Российской Федерации, федеральных округов Российской Федерации и Российской Федерации в 2024 и 2025 годах к участию в смотре-конкурсе не допускаются.</w:t>
      </w:r>
    </w:p>
    <w:p w14:paraId="6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Оценка состояния ЗС ГО при проведении смотра-конкурса осуществляется в соответствии с приложением № 1 к настоящему Положению.</w:t>
      </w:r>
    </w:p>
    <w:p w14:paraId="6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Результаты оценки отражаются в протоколе состояния ЗС ГО, представленного на смотр-конкурс, согласно приложению № 2 к настоящему Положению, с приложением фотоматериалов (не менее 20 качественных фотографий с разрешением не менее 3000х2000 пикселей), отражающих реальное состояние ЗС ГО.</w:t>
      </w:r>
    </w:p>
    <w:p w14:paraId="6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800080"/>
          <w:sz w:val="28"/>
        </w:rPr>
      </w:pPr>
    </w:p>
    <w:p w14:paraId="6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На фотографиях должно быть отражено состояние:</w:t>
      </w:r>
    </w:p>
    <w:p w14:paraId="66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фильтровентиляционного оборудования (в каком состоянии находятся установленные фильтры, дата их изготовления);</w:t>
      </w:r>
    </w:p>
    <w:p w14:paraId="67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защитно-герметических и герметических ворот, дверей, ставень;</w:t>
      </w:r>
    </w:p>
    <w:p w14:paraId="68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элементов систем жизнеобеспечения (электроснабжения, в том числе дизельных станций, водоснабжения, водоотведения, отопления, технологии обитания, противопожарного оборудования);</w:t>
      </w:r>
    </w:p>
    <w:p w14:paraId="69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строительных конструкций (стен, колонн, полов, перекрытия);</w:t>
      </w:r>
    </w:p>
    <w:p w14:paraId="6A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pacing w:val="-6"/>
          <w:sz w:val="28"/>
        </w:rPr>
        <w:t>качество и правильность окраски инженерных систем (в</w:t>
      </w:r>
      <w:r>
        <w:rPr>
          <w:rFonts w:ascii="Times New Roman" w:hAnsi="Times New Roman"/>
          <w:color w:val="000000"/>
          <w:sz w:val="28"/>
        </w:rPr>
        <w:t xml:space="preserve"> соответствии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"consultantplus://offline/ref=3DFCB229F88EBF42AAD7E7124D3DB3AED4B98006A548E9331D3DEEDAABd1Q5E"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приказом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МЧС России от 15.12.2002 № 583);</w:t>
      </w:r>
    </w:p>
    <w:p w14:paraId="6B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наличие документации и наглядных пособий.</w:t>
      </w:r>
    </w:p>
    <w:p w14:paraId="6C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Победители смотра-конкурса на втором этапе определяются на основании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"../../../C:/Users/chuprina_i/Desktop/%D0%A1%D0%BC%D0%BE%D1%82%D1%80-%20%D0%BA%D0%BE%D0%BD%D0%BA%D1%83%D1%80%D1%81%20-%202019/%D0%9F%D1%80%D0%BE%D0%B5%D0%BA%D1%82%20%D0%9F%D0%BE%D1%81%D1%82.(%20%D0%97%D0%A1%20(%20%D0%BA%D0%BE%D0%BD%D0%BA%D1%83%D1%80%D1%81).docx#Par216"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протокол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ов комиссии по оценке результатов проведения смотра-конкурса состояния защитных сооружений гражданской обороны, представленных на смотр-конкурс и утверждаются постановлением администрации города Магнитогорска.</w:t>
      </w:r>
    </w:p>
    <w:p w14:paraId="6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Победители смотра-конкурса определяются по наибольшей сумме баллов, набранной в соответствии с настоящим Положением.</w:t>
      </w:r>
    </w:p>
    <w:p w14:paraId="6E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При наличии недостатков из максимального количества баллов (3000) вычитается сумма баллов, снижающая оценку состояния ЗС ГО, согласно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"../../../C:/Users/chuprina_i/Desktop/%D0%A1%D0%BC%D0%BE%D1%82%D1%80-%20%D0%BA%D0%BE%D0%BD%D0%BA%D1%83%D1%80%D1%81%20-%202019/%D0%9F%D1%80%D0%BE%D0%B5%D0%BA%D1%82%20%D0%9F%D0%BE%D1%81%D1%82.(%20%D0%97%D0%A1%20(%20%D0%BA%D0%BE%D0%BD%D0%BA%D1%83%D1%80%D1%81).docx#Par102"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таблице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оценки состояния защитного сооружения гражданской обороны при проведении смотра-конкурса (приложение № 1).</w:t>
      </w:r>
    </w:p>
    <w:p w14:paraId="6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При наличии сборно-разборных нар начисляются баллы в количестве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50 (с приложением подтверждающих фотографий).</w:t>
      </w:r>
    </w:p>
    <w:p w14:paraId="70000000">
      <w:pPr>
        <w:pStyle w:val="Style_3"/>
        <w:widowControl w:val="1"/>
        <w:tabs>
          <w:tab w:leader="none" w:pos="720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8.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Победители смотра-конкурса награждаются Почетными грамотами.</w:t>
      </w:r>
    </w:p>
    <w:p w14:paraId="7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72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800080"/>
          <w:sz w:val="28"/>
        </w:rPr>
      </w:pPr>
    </w:p>
    <w:p w14:paraId="73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800080"/>
          <w:sz w:val="28"/>
        </w:rPr>
      </w:pPr>
    </w:p>
    <w:p w14:paraId="74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5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6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7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8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9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A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B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C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D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E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7F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80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81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82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color w:val="800080"/>
          <w:sz w:val="28"/>
        </w:rPr>
      </w:pPr>
    </w:p>
    <w:p w14:paraId="83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hanging="425" w:left="5103" w:right="0"/>
        <w:jc w:val="both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>Приложение № 1 к Положению</w:t>
      </w:r>
    </w:p>
    <w:p w14:paraId="8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hanging="425" w:left="5103" w:right="0"/>
        <w:jc w:val="both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 xml:space="preserve">о смотре-конкурсе на лучшее </w:t>
      </w:r>
    </w:p>
    <w:p w14:paraId="85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hanging="425" w:left="5103" w:right="0"/>
        <w:jc w:val="both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 xml:space="preserve">защитное сооружение гражданской обороны </w:t>
      </w:r>
    </w:p>
    <w:p w14:paraId="86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hanging="425" w:left="5103" w:right="0"/>
        <w:jc w:val="both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>на территории города Магнитогорска в 2026 году</w:t>
      </w:r>
    </w:p>
    <w:p w14:paraId="87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8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9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bookmarkStart w:id="3" w:name="Par102"/>
      <w:bookmarkEnd w:id="3"/>
      <w:r>
        <w:rPr>
          <w:rFonts w:ascii="Times New Roman" w:hAnsi="Times New Roman"/>
          <w:color w:val="000000"/>
          <w:sz w:val="28"/>
        </w:rPr>
        <w:t>Оценка состояния защитного сооружения гражданской обороны</w:t>
      </w:r>
    </w:p>
    <w:p w14:paraId="8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1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при проведении смотра-конкурса на лучшее защитное сооружение гражданской обороны на территории города Магнитогорска в 2026 году</w:t>
      </w:r>
    </w:p>
    <w:p w14:paraId="8B000000">
      <w:pPr>
        <w:pStyle w:val="Style_3"/>
        <w:widowControl w:val="1"/>
        <w:spacing w:after="0" w:before="0" w:line="240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(максимально возможное количество баллов – 3000)</w:t>
      </w:r>
    </w:p>
    <w:p w14:paraId="8C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8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При наличии недостатков из максимального количества баллов вычитается сумма баллов, снижающая оценку защитного сооружения гражданской обороны (далее – ЗС ГО).</w:t>
      </w:r>
    </w:p>
    <w:p w14:paraId="8E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W w:type="auto" w:w="0"/>
        <w:jc w:val="left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736"/>
        <w:gridCol w:w="2618"/>
      </w:tblGrid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Основные недостатки, снижающие готовность ЗС ГО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Количество баллов, снижающих оценку состояния ЗС ГО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 оценке герметичности убежища и состояния ограждающих конструкций и защитных устройств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Герметичность убежища не обеспечена, величина эксплуатационного подпора меньше, чем предусмотрена проектом (в этом случае остальные показатели не оцениваются, убежище выставляется для участия в конкурсе только после устранения выявленных неисправностей)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Убежище выставляется для участия в конкурсе только после устранения выявленных неисправностей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защитных конструкциях (стенах, перекрытии) имеются проемы, не предусмотренные проектом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Неисправны защитные и защитно-герметические ворота, двери, ставни (перекос полотна, неисправность затвора), нет уплотнительной резины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(на каждую дверь, ставень)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Неисправны противовзрывные устройства, а именно малогабаритные защитные секции (далее - МЗС), унифицированные защитные секции (далее - УЗС), клапан избыточного давления (далее - КИД) установлены негерметично, сопряженные детали не смазаны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каждое устройство)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Гермоклапаны (далее - ГК) неисправны, закрываются с применением инструмента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</w:t>
            </w:r>
          </w:p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каждый ГК)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Отсутствует маркировка на воротах, дверях, ставнях и др.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</w:t>
            </w:r>
          </w:p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каждое наименование)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Помещения убежища влажные, имеют протечки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30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Планово-предупредительный ремонт сооружения и/или техническое обслуживание не проводятся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u w:val="single"/>
              </w:rPr>
              <w:t>Примечание: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При наличии сборно-разборных нар начисляются баллы в количестве 50 (с приложением фотографий, подтверждающих наличие указанного элемента)</w:t>
            </w:r>
          </w:p>
        </w:tc>
      </w:tr>
      <w:tr>
        <w:trPr>
          <w:trHeight w:hRule="atLeast" w:val="459"/>
        </w:trP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 оценке состояния инженерно-технического обслуживания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Срок эксплуатации фильтров-поглотителей истек (свыше 20 лет)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60</w:t>
            </w:r>
          </w:p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каждый комплект)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Фильтровентиляционное оборудование содержится с нарушением правил их эксплуатации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30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Отсутствуют отдельные виды оборудования, предусмотренные проектом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60</w:t>
            </w:r>
          </w:p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каждый агрегат)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Воздуховоды, трубы имеют коррозию, их окраска не соответствует установленному цвету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Емкости запасов воды имеют нарушение теплоизоляции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Неисправны унитазы, раковины, писсуары, запорная арматура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</w:t>
            </w:r>
          </w:p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каждый прибор)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Оборудование, предназначенное для обеспечения жизнеобеспечения в автономном режиме, находится в неисправном состоянии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200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Примечание: Наличие оборудования, предназначенного для обеспечения жизнеобеспечения убежища в автономном режиме, обязательно (согласно проектной документации)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Отсутствует противопожарное имущество (ручной пенный или углекислотный огнетушитель, ящик с песком, передвижная углекислотная установка)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</w:t>
            </w:r>
          </w:p>
          <w:p w14:paraId="B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каждое наименование)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сооружении отсутствуют измерительные приборы (тягонапорометр, психрометр, термометр и др.)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(за каждый прибор)</w:t>
            </w:r>
          </w:p>
        </w:tc>
      </w:tr>
      <w:tr>
        <w:trPr>
          <w:trHeight w:hRule="atLeast" w:val="596"/>
        </w:trP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сооружении отсутствует телефонная связь с пунктом управления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 оценке технической и эксплуатационной документации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защитном сооружении отсутствуют:</w:t>
            </w:r>
          </w:p>
        </w:tc>
      </w:tr>
      <w:tr>
        <w:trPr>
          <w:trHeight w:hRule="atLeast" w:val="495"/>
        </w:trP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График приведения защитного сооружения в готовность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Паспорт защитного сооружения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Журнал содержания и табеля оснащения защитного сооружения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Журнал проверки состояния защитного сооружения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Правила поведения укрываемых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План внешних и внутренних инженерных сетей с указанием отключающих устройств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  <w:p w14:paraId="D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(по каждой из сетей)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План защитного сооружения с указанием оборудования для сидения, лежания и путей эвакуации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Инструкции постам по эксплуатации фильтровентиляционного и другого оборудования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</w:t>
            </w:r>
          </w:p>
          <w:p w14:paraId="D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(по каждой из систем)</w:t>
            </w:r>
          </w:p>
        </w:tc>
      </w:tr>
      <w:tr>
        <w:trPr>
          <w:trHeight w:hRule="atLeast" w:val="306"/>
        </w:trP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 оценке готовности личного состава формирований по обслуживанию защитных сооружений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Формирования по обслуживанию защитных сооружений созданы с нарушением требований Правил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Личный состав недостаточно подготовлен к выполнению мероприятий по приведению защитного сооружения в готовность к приему укрываемых.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150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Группы (звенья) по обслуживанию ЗС ГО не в полной мере обеспечены средствами индивидуальной защиты, РХР, специальной обработки, связи, медицинским имуществом и инструментом согласно нормам, установленным Правилами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100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 оценке готовности к заполнению защитных сооружений укрываемыми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Подходы к защитным сооружениям не расчищены, входы загромождены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Ключи хранятся с нарушением установленного порядка. На дверях убежищ нет надписей с указанием мест хранения ключей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300</w:t>
            </w:r>
          </w:p>
        </w:tc>
      </w:tr>
      <w:t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 оценке эффективности использования защитного сооружения для нужд народного хозяйства и обслуживания населения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Защитное сооружение не используется в соответствии с проектным предназначением в народнохозяйственных целях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</w:t>
            </w:r>
          </w:p>
        </w:tc>
      </w:tr>
      <w:tr>
        <w:tc>
          <w:tcPr>
            <w:tcW w:type="dxa" w:w="6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Не выполняются все требования, обеспечивающие пригодность помещений к переводу их в установленные сроки на режим защитного сооружения (материальные ценности хранятся без стеллажей, которые могут быть использованы для сидения и лежания укрываемых, отсутствуют средства механизации для освобождения помещения и др.)</w:t>
            </w:r>
          </w:p>
        </w:tc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100</w:t>
            </w:r>
          </w:p>
        </w:tc>
      </w:tr>
      <w:tr>
        <w:trPr>
          <w:trHeight w:hRule="atLeast" w:val="1144"/>
        </w:trPr>
        <w:tc>
          <w:tcPr>
            <w:tcW w:type="dxa" w:w="9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случае равного количества баллов предпочтение отдается ЗС ГО, получившим большее количество баллов по оценке герметичности убежища и состояния ограждающих конструкций и защитных устройств</w:t>
            </w:r>
          </w:p>
        </w:tc>
      </w:tr>
    </w:tbl>
    <w:p w14:paraId="E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000000"/>
          <w:sz w:val="28"/>
        </w:rPr>
      </w:pPr>
    </w:p>
    <w:p w14:paraId="E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000000"/>
          <w:sz w:val="28"/>
        </w:rPr>
      </w:pPr>
    </w:p>
    <w:p w14:paraId="E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E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E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E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E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E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3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5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6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7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rFonts w:ascii="Times New Roman" w:hAnsi="Times New Roman"/>
          <w:color w:val="800080"/>
          <w:sz w:val="28"/>
        </w:rPr>
      </w:pPr>
    </w:p>
    <w:p w14:paraId="F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F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F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F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F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F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F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</w:p>
    <w:p w14:paraId="00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>Приложение № 2 к Положению</w:t>
      </w:r>
    </w:p>
    <w:p w14:paraId="01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 xml:space="preserve">о смотре-конкурсе на лучшее </w:t>
      </w:r>
    </w:p>
    <w:p w14:paraId="02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 xml:space="preserve">защитное сооружение гражданской обороны </w:t>
      </w:r>
    </w:p>
    <w:p w14:paraId="03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4678" w:left="0" w:right="0"/>
        <w:outlineLvl w:val="1"/>
        <w:rPr>
          <w:color w:val="000000"/>
        </w:rPr>
      </w:pPr>
      <w:r>
        <w:rPr>
          <w:rFonts w:ascii="Times New Roman" w:hAnsi="Times New Roman"/>
          <w:color w:val="000000"/>
        </w:rPr>
        <w:t>на территории города Магнитогорска в 2026 году</w:t>
      </w:r>
    </w:p>
    <w:p w14:paraId="04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5103" w:left="0" w:right="0"/>
        <w:outlineLvl w:val="0"/>
        <w:rPr>
          <w:rFonts w:ascii="Times New Roman" w:hAnsi="Times New Roman"/>
          <w:color w:val="000000"/>
        </w:rPr>
      </w:pPr>
    </w:p>
    <w:p w14:paraId="05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Times New Roman" w:hAnsi="Times New Roman"/>
          <w:color w:val="000000"/>
        </w:rPr>
      </w:pPr>
    </w:p>
    <w:p w14:paraId="06010000">
      <w:pPr>
        <w:pStyle w:val="Style_3"/>
        <w:widowControl w:val="1"/>
        <w:tabs>
          <w:tab w:leader="none" w:pos="720" w:val="clear"/>
          <w:tab w:leader="none" w:pos="7459" w:val="left"/>
          <w:tab w:leader="none" w:pos="10207" w:val="right"/>
        </w:tabs>
        <w:spacing w:after="0" w:before="0" w:line="240" w:lineRule="auto"/>
        <w:ind/>
        <w:jc w:val="center"/>
        <w:rPr>
          <w:color w:val="000000"/>
        </w:rPr>
      </w:pPr>
      <w:bookmarkStart w:id="4" w:name="Par216"/>
      <w:bookmarkEnd w:id="4"/>
      <w:r>
        <w:rPr>
          <w:rFonts w:ascii="Times New Roman" w:hAnsi="Times New Roman"/>
          <w:color w:val="000000"/>
          <w:sz w:val="26"/>
        </w:rPr>
        <w:t>ПРОТОКОЛ № ___</w:t>
      </w:r>
    </w:p>
    <w:p w14:paraId="07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состояния защитного сооружения гражданской обороны,</w:t>
      </w:r>
    </w:p>
    <w:p w14:paraId="08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представленного на смотр-конкурс</w:t>
      </w:r>
    </w:p>
    <w:p w14:paraId="09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0A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2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г. Магнитогорск                                                                            «___»________ 2026 г.</w:t>
      </w:r>
    </w:p>
    <w:p w14:paraId="0B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0C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Комиссия в составе:</w:t>
      </w:r>
    </w:p>
    <w:p w14:paraId="0D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0E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Председатель комиссии - _______________________________________________                                                                               (Ф.И.О.)</w:t>
      </w:r>
    </w:p>
    <w:p w14:paraId="0F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                                           (Должность)</w:t>
      </w:r>
    </w:p>
    <w:p w14:paraId="10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11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Заместитель председателя комиссии - _______________________________________</w:t>
      </w:r>
    </w:p>
    <w:p w14:paraId="12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</w:rPr>
        <w:t>(Ф.И.О.)</w:t>
      </w:r>
    </w:p>
    <w:p w14:paraId="13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14:paraId="14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(Должность)</w:t>
      </w:r>
    </w:p>
    <w:p w14:paraId="15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16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Члены комиссии</w:t>
      </w:r>
    </w:p>
    <w:p w14:paraId="17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14:paraId="18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(Ф.И.О.)                       (Должность)</w:t>
      </w:r>
    </w:p>
    <w:p w14:paraId="19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14:paraId="1A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(Ф.И.О.)                       (Должность)</w:t>
      </w:r>
    </w:p>
    <w:p w14:paraId="1B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1C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Секретарь комиссии</w:t>
      </w:r>
    </w:p>
    <w:p w14:paraId="1D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14:paraId="1E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(Ф.И.О.)                       (Должность)</w:t>
      </w:r>
    </w:p>
    <w:p w14:paraId="1F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20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Установила:</w:t>
      </w:r>
    </w:p>
    <w:p w14:paraId="21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22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Владелец (балансодержатель) защитного сооружения гражданской обороны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(далее – ЗС ГО): _</w:t>
      </w:r>
      <w:r>
        <w:rPr>
          <w:rFonts w:ascii="Times New Roman" w:hAnsi="Times New Roman"/>
          <w:color w:val="000000"/>
          <w:sz w:val="26"/>
          <w:u w:val="single"/>
        </w:rPr>
        <w:t>_______________________________________________________</w:t>
      </w:r>
    </w:p>
    <w:p w14:paraId="23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24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№ </w:t>
      </w:r>
      <w:r>
        <w:rPr>
          <w:rFonts w:ascii="Times New Roman" w:hAnsi="Times New Roman"/>
          <w:color w:val="000000"/>
          <w:sz w:val="26"/>
        </w:rPr>
        <w:t>в реестре ЗС ГО МЧС России _____________   инв. № ______________________</w:t>
      </w:r>
    </w:p>
    <w:p w14:paraId="25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ЗС ГО расположенного по адресу:</w:t>
      </w:r>
    </w:p>
    <w:p w14:paraId="26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2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_______________________________________________________________________,</w:t>
      </w:r>
    </w:p>
    <w:p w14:paraId="27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2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введенного в эксплуатацию _______________</w:t>
      </w:r>
    </w:p>
    <w:p w14:paraId="28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Согласно проекту ЗС ГО предназначено для укрытия в особый период НРС ___ чел. (трудоспособного населения ____ чел., нетранспортабельных больных _____ чел.).</w:t>
      </w:r>
    </w:p>
    <w:p w14:paraId="29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В мирное время используется как </w:t>
      </w:r>
    </w:p>
    <w:p w14:paraId="2A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______________________________________________________________________________________________________________________________________________</w:t>
      </w:r>
    </w:p>
    <w:p w14:paraId="2B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b w:val="1"/>
          <w:color w:val="000000"/>
          <w:sz w:val="26"/>
        </w:rPr>
      </w:pPr>
    </w:p>
    <w:p w14:paraId="2C010000">
      <w:pPr>
        <w:pStyle w:val="Style_3"/>
        <w:widowControl w:val="1"/>
        <w:spacing w:after="0" w:before="0" w:line="240" w:lineRule="auto"/>
        <w:ind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Провела оценку готовности ЗС ГО:</w:t>
      </w:r>
    </w:p>
    <w:p w14:paraId="2D010000">
      <w:pPr>
        <w:pStyle w:val="Style_3"/>
        <w:widowControl w:val="1"/>
        <w:spacing w:after="0" w:before="0" w:line="240" w:lineRule="auto"/>
        <w:ind w:firstLine="8222" w:left="0" w:right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Таблица</w:t>
      </w:r>
    </w:p>
    <w:tbl>
      <w:tblPr>
        <w:tblStyle w:val="Style_4"/>
        <w:tblW w:type="auto" w:w="0"/>
        <w:jc w:val="left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95"/>
        <w:gridCol w:w="1984"/>
        <w:gridCol w:w="2335"/>
      </w:tblGrid>
      <w:tr>
        <w:trPr>
          <w:trHeight w:hRule="atLeast" w:val="860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Наименование проверяемого вопроса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Отмеченные недостатки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Кол-во баллов, снижающих оценку</w:t>
            </w: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1. Состояние ограждающих конструкций и защитных устройств, состояние входа:</w:t>
            </w:r>
          </w:p>
        </w:tc>
      </w:tr>
      <w:tr>
        <w:trPr>
          <w:trHeight w:hRule="atLeast" w:val="247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знака, таблички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298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клиньев под двери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220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исправность запоров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553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плотность прилегания,</w:t>
            </w:r>
          </w:p>
          <w:p w14:paraId="3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плавность хода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нумерация дверей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стрелки «Откр», «Закр»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внешний вид дверей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182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исправность запоров, плотность прилегания герметических дверей (далее - ГД), защитных герметических дверей (далее -ЗГД)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качество уплотнительной резины, внешний вид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состояние ограждающих конструкций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герметичность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протечек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Состояние малогабаритных защитных секций (далее - МЗС), унифицированных защитных секций (далее - УЗС), клапанов избыточного давления (далее - КИД)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проведение планово-предупредительного ремонта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2. Документация</w:t>
            </w:r>
          </w:p>
          <w:p w14:paraId="5E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(примечание: необходимая документация вывешивается на рабочих местах)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паспорт ЗС ГО с приложением заверенных копий поэтажного плана эвакуации помещений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журнал проверки состояния ЗС ГО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503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сигналы оповещения гражданской обороны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план перевода ЗС ГО на режим по прямому назначению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план ЗС ГО с указанием всех помещений и находящихся в них оборудования и путей эвакуации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планы внешних и внутренних инженерных сетей с указанием отключающих устройств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список личного состава группы (звена) по обслуживанию ЗС ГО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систем вентиляции ЗС ГО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систем водоснабжения и канализации ЗС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систем электроснабжения ЗС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эксплуатации средств индивидуальной защиты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эксплуатации фильтровентиляционного и другого инженерного оборудования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правила пользования приборами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обслуживанию дизельной электростанции (далее - ДЭС)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противопожарной безопасности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журнал регистрации показателей микроклимата и газового состава воздуха в ЗС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журнал учета обращений укрываемых за медицинской помощью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журнал учета работы дизельной электростанции (ДЭС)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журнал регистрации демонтажа, ремонта и замены оборудования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схема эвакуации укрываемых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список телефонов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3. Связь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и исправность радиоточки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телефонной точки и исправность телефона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4. Обслуживание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список личного состава группы (звена) по обслуживанию ЗС ГО (для каждой смены отдельно)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схема размещения постов на плане ЗС ГО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обязанности личного состава звеньев (постов)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перечень и наличие средств индивидуальной защиты, радиационной и химической разведки для личного состава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список и наличие инструментов согласно норм оснащения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5. Фильтровентиляция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дата изготовителя фильтра-поглотителя (далее - ФП)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ключа гермоклапана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расцветка воздуховодов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вентиляции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обслуживанию фильтровентиляционного оборудования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установка ФП по сопротивлению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внешний вид ФП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проверка работы агрегатов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трубка подпоромера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фильтры ячеистые противопыльные (далее - ФЯРы или ФЯПы)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тягонапоромер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нумерация гермоклапанов (далее – ГК), обозначение «закрыто», «открыто», опломбирование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график, время работы фильтровентиляционного оборудования (далее – ФВО) в ручном режиме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036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герметичность по проекту и фактически (мм вод. столба). График, акт проверки исправности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6. Электроснабжение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электроснабжения ЗС ГО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исправность электрооборудования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аварийное освещение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0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7. ДЭС</w:t>
            </w:r>
          </w:p>
          <w:p w14:paraId="F101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(примечание: при наличии другого оборудования, предназначенного для эксплуатации убежища в автономном режиме, оценивать согласно технической документации на это оборудование)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ДЭС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вентиляция приток-вытяжка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журнал учета запуска и работы ДЭС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теплоизоляция выхлопной трубы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компенсатор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резервуары запасов топлива, масла, поддоны (заполнение)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противопожарный щит, огнетушители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щит переключения на аварийное освещение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аккумуляторы и их зарядка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инструмента, наушников, глушителей и т.д.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724"/>
        </w:trP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инструкция по обеспечению ДЭС и по технике безопасности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28" w:lineRule="auto"/>
              <w:ind w:firstLine="0" w:left="0" w:right="0"/>
              <w:jc w:val="center"/>
              <w:outlineLvl w:val="1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8. Водоснабжение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эксплуатационная схема водоснабжения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расцветка труб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резервуаров (проточность), их емкость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водомерное стекло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краны водораздаточные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люки в баках аварийного запаса воды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противопожарного резервуара и насоса подачи воды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28" w:lineRule="auto"/>
              <w:ind w:firstLine="0" w:left="0" w:right="0"/>
              <w:jc w:val="center"/>
              <w:outlineLvl w:val="1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9. Канализация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приборов, смывных бачков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фекального насоса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задвижка «Лудло»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наличие крышки в фекальную емкость и отверстий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проверка работы фекального насоса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20000">
            <w:pPr>
              <w:pStyle w:val="Style_3"/>
              <w:widowControl w:val="1"/>
              <w:spacing w:after="0" w:before="0" w:line="228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10. Запасной выход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надпись на дверях (ставнях)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лестницы, скобы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жалюзи, решетки, сетки предохранительные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11. Оголовки</w:t>
            </w: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расчетное удаление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защитные секции УЗС, МЗС их установки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приток-вытяжка, на каком удалении приток-вытяжка от ДЭС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защита от атмосферных осадков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68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ИТОГО снято баллов по всем проверенным вопросам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2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92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12. Вывод о пригодности и готовности к использованию в качестве защитного сооружения гражданской обороны на особый период:</w:t>
            </w:r>
          </w:p>
          <w:p w14:paraId="53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1"/>
              <w:rPr>
                <w:rFonts w:ascii="Times New Roman" w:hAnsi="Times New Roman"/>
                <w:color w:val="000000"/>
                <w:sz w:val="26"/>
              </w:rPr>
            </w:pPr>
          </w:p>
          <w:p w14:paraId="54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1"/>
              <w:rPr>
                <w:rFonts w:ascii="Times New Roman" w:hAnsi="Times New Roman"/>
                <w:color w:val="000000"/>
                <w:sz w:val="26"/>
              </w:rPr>
            </w:pPr>
          </w:p>
          <w:p w14:paraId="5502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both"/>
              <w:outlineLvl w:val="1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56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57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Состояние защитного сооружения оценено в _________________________ баллов</w:t>
      </w:r>
    </w:p>
    <w:p w14:paraId="58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59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Председатель комиссии:</w:t>
      </w:r>
    </w:p>
    <w:p w14:paraId="5A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5B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          __________________________       ________________</w:t>
      </w:r>
    </w:p>
    <w:p w14:paraId="5C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</w:t>
      </w:r>
      <w:r>
        <w:rPr>
          <w:rFonts w:ascii="Times New Roman" w:hAnsi="Times New Roman"/>
          <w:color w:val="000000"/>
          <w:sz w:val="26"/>
        </w:rPr>
        <w:t>(Подпись)                           (Фамилия, инициалы)                          (Дата)</w:t>
      </w:r>
    </w:p>
    <w:p w14:paraId="5D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5E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5F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Заместитель председателя комиссии:</w:t>
      </w:r>
    </w:p>
    <w:p w14:paraId="60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61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          __________________________       ________________</w:t>
      </w:r>
    </w:p>
    <w:p w14:paraId="62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</w:t>
      </w:r>
      <w:r>
        <w:rPr>
          <w:rFonts w:ascii="Times New Roman" w:hAnsi="Times New Roman"/>
          <w:color w:val="000000"/>
          <w:sz w:val="26"/>
        </w:rPr>
        <w:t>(Подпись)                           (Фамилия, инициалы)                          (Дата)</w:t>
      </w:r>
    </w:p>
    <w:p w14:paraId="63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64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65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Члены комиссии:</w:t>
      </w:r>
    </w:p>
    <w:p w14:paraId="66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16"/>
        </w:rPr>
      </w:pPr>
    </w:p>
    <w:p w14:paraId="67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16"/>
        </w:rPr>
      </w:pPr>
    </w:p>
    <w:p w14:paraId="68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          __________________________       ________________</w:t>
      </w:r>
    </w:p>
    <w:p w14:paraId="69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</w:t>
      </w:r>
      <w:r>
        <w:rPr>
          <w:rFonts w:ascii="Times New Roman" w:hAnsi="Times New Roman"/>
          <w:color w:val="000000"/>
          <w:sz w:val="26"/>
        </w:rPr>
        <w:t>(Подпись)                           (Фамилия, инициалы)                          (Дата)</w:t>
      </w:r>
    </w:p>
    <w:p w14:paraId="6A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6B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          __________________________       ________________</w:t>
      </w:r>
    </w:p>
    <w:p w14:paraId="6C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</w:t>
      </w:r>
      <w:r>
        <w:rPr>
          <w:rFonts w:ascii="Times New Roman" w:hAnsi="Times New Roman"/>
          <w:color w:val="000000"/>
          <w:sz w:val="26"/>
        </w:rPr>
        <w:t>(Подпись)                           (Фамилия, инициалы)                          (Дата)</w:t>
      </w:r>
    </w:p>
    <w:p w14:paraId="6D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6E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          __________________________       ________________</w:t>
      </w:r>
    </w:p>
    <w:p w14:paraId="6F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</w:t>
      </w:r>
      <w:r>
        <w:rPr>
          <w:rFonts w:ascii="Times New Roman" w:hAnsi="Times New Roman"/>
          <w:color w:val="000000"/>
          <w:sz w:val="26"/>
        </w:rPr>
        <w:t>(Подпись)                           (Фамилия, инициалы)                          (Дата)</w:t>
      </w:r>
    </w:p>
    <w:p w14:paraId="70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71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72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Секретарь комиссии:</w:t>
      </w:r>
    </w:p>
    <w:p w14:paraId="73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74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>____________________          __________________________       ________________</w:t>
      </w:r>
    </w:p>
    <w:p w14:paraId="75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6"/>
        </w:rPr>
        <w:t xml:space="preserve">            </w:t>
      </w:r>
      <w:r>
        <w:rPr>
          <w:rFonts w:ascii="Times New Roman" w:hAnsi="Times New Roman"/>
          <w:color w:val="000000"/>
          <w:sz w:val="26"/>
        </w:rPr>
        <w:t>(Подпись)                           (Фамилия, инициалы)                          (Дата)</w:t>
      </w:r>
    </w:p>
    <w:p w14:paraId="7602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77020000">
      <w:pPr>
        <w:sectPr>
          <w:headerReference r:id="rId9" w:type="default"/>
          <w:headerReference r:id="rId17" w:type="first"/>
          <w:headerReference r:id="rId7" w:type="even"/>
          <w:footerReference r:id="rId10" w:type="default"/>
          <w:footerReference r:id="rId18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7802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Приложение № 2</w:t>
      </w:r>
    </w:p>
    <w:p w14:paraId="79020000">
      <w:pPr>
        <w:pStyle w:val="Style_3"/>
        <w:widowControl w:val="1"/>
        <w:spacing w:after="0" w:before="0" w:line="240" w:lineRule="auto"/>
        <w:ind w:firstLine="0" w:left="5103" w:right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постановлению администрации</w:t>
      </w:r>
    </w:p>
    <w:p w14:paraId="7A020000">
      <w:pPr>
        <w:pStyle w:val="Style_3"/>
        <w:widowControl w:val="1"/>
        <w:spacing w:after="0" w:before="0" w:line="240" w:lineRule="auto"/>
        <w:ind w:firstLine="0" w:left="5103" w:right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города Магнитогорска </w:t>
      </w:r>
    </w:p>
    <w:p w14:paraId="7B02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от 12.03.2026 № 1718-П</w:t>
      </w:r>
    </w:p>
    <w:p w14:paraId="7C02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</w:rPr>
      </w:pPr>
    </w:p>
    <w:p w14:paraId="7D02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7E02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p w14:paraId="7F02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СОСТАВ КОМИССИИ</w:t>
      </w:r>
    </w:p>
    <w:p w14:paraId="8002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по оценке результатов проведения смотра - конкурса на лучшее защитное сооружение гражданской обороны на территории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2026 году</w:t>
      </w:r>
    </w:p>
    <w:p w14:paraId="8102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82020000">
      <w:pPr>
        <w:pStyle w:val="Style_3"/>
        <w:widowControl w:val="1"/>
        <w:tabs>
          <w:tab w:leader="none" w:pos="720" w:val="clear"/>
          <w:tab w:leader="none" w:pos="2552" w:val="left"/>
          <w:tab w:leader="none" w:pos="3120" w:val="left"/>
        </w:tabs>
        <w:spacing w:after="0" w:before="0" w:line="240" w:lineRule="auto"/>
        <w:ind w:hanging="2551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Москалев М.В.      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председатель комиссии, заместитель главы города Магнитогорска</w:t>
      </w:r>
    </w:p>
    <w:p w14:paraId="83020000">
      <w:pPr>
        <w:pStyle w:val="Style_3"/>
        <w:widowControl w:val="1"/>
        <w:tabs>
          <w:tab w:leader="none" w:pos="0" w:val="left"/>
          <w:tab w:leader="none" w:pos="720" w:val="clear"/>
        </w:tabs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84020000">
      <w:pPr>
        <w:pStyle w:val="Style_3"/>
        <w:widowControl w:val="1"/>
        <w:tabs>
          <w:tab w:leader="none" w:pos="720" w:val="clear"/>
          <w:tab w:leader="none" w:pos="3105" w:val="left"/>
        </w:tabs>
        <w:spacing w:after="0" w:before="0" w:line="240" w:lineRule="auto"/>
        <w:ind w:hanging="2551" w:left="2835" w:right="-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Жестовский О.Б.   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комиссии, начальник управления гражданской защиты населения администрации города Магнитогорска</w:t>
      </w:r>
    </w:p>
    <w:p w14:paraId="85020000">
      <w:pPr>
        <w:pStyle w:val="Style_3"/>
        <w:widowControl w:val="1"/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86020000">
      <w:pPr>
        <w:pStyle w:val="Style_3"/>
        <w:widowControl w:val="1"/>
        <w:spacing w:after="0" w:before="0" w:line="240" w:lineRule="auto"/>
        <w:ind w:firstLine="284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Члены комиссии:</w:t>
      </w:r>
    </w:p>
    <w:p w14:paraId="8702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88020000">
      <w:pPr>
        <w:pStyle w:val="Style_3"/>
        <w:widowControl w:val="1"/>
        <w:tabs>
          <w:tab w:leader="none" w:pos="720" w:val="clear"/>
          <w:tab w:leader="none" w:pos="3135" w:val="left"/>
        </w:tabs>
        <w:spacing w:after="0" w:before="0" w:line="240" w:lineRule="auto"/>
        <w:ind w:hanging="2608" w:left="2891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Горянина Н.А.       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старший инспектор отдела ГО и ЧС управления гражданской защиты населения администрации города Магнитогорска</w:t>
      </w:r>
    </w:p>
    <w:p w14:paraId="8902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8A020000">
      <w:pPr>
        <w:pStyle w:val="Style_3"/>
        <w:widowControl w:val="1"/>
        <w:tabs>
          <w:tab w:leader="none" w:pos="720" w:val="clear"/>
          <w:tab w:leader="none" w:pos="3120" w:val="left"/>
        </w:tabs>
        <w:spacing w:after="0" w:before="0" w:line="240" w:lineRule="auto"/>
        <w:ind w:hanging="2551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Паксюткина Е.С.   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ведущий специалист отдела ГО и ЧС управления гражданской защиты населения администрации города Магнитогорска</w:t>
      </w:r>
    </w:p>
    <w:p w14:paraId="8B020000">
      <w:pPr>
        <w:pStyle w:val="Style_3"/>
        <w:widowControl w:val="1"/>
        <w:spacing w:after="0" w:before="0" w:line="240" w:lineRule="auto"/>
        <w:ind w:firstLine="0" w:left="2835" w:right="0"/>
        <w:jc w:val="both"/>
        <w:rPr>
          <w:rFonts w:ascii="PT Astra Serif" w:hAnsi="PT Astra Serif"/>
          <w:sz w:val="28"/>
        </w:rPr>
      </w:pPr>
    </w:p>
    <w:p w14:paraId="8C020000">
      <w:pPr>
        <w:pStyle w:val="Style_3"/>
        <w:widowControl w:val="1"/>
        <w:tabs>
          <w:tab w:leader="none" w:pos="720" w:val="clear"/>
          <w:tab w:leader="none" w:pos="3120" w:val="left"/>
        </w:tabs>
        <w:spacing w:after="0" w:before="0" w:line="240" w:lineRule="auto"/>
        <w:ind w:hanging="2551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Юзеев А.В.             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начальника ОНДиПР </w:t>
      </w:r>
      <w:r>
        <w:rPr>
          <w:rFonts w:ascii="PT Astra Serif" w:hAnsi="PT Astra Serif"/>
          <w:color w:val="000000"/>
          <w:sz w:val="28"/>
        </w:rPr>
        <w:t xml:space="preserve">по городу Магнитогорску и Верхнеуральскому округу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(по надзору в области гражданской обороны, защиты населения и территорий от чрезвычайных ситуаций) УНДиПР ГУ МЧС России по Челябинской области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(по согласованию)</w:t>
      </w:r>
    </w:p>
    <w:p w14:paraId="8D020000">
      <w:pPr>
        <w:pStyle w:val="Style_3"/>
        <w:widowControl w:val="1"/>
        <w:spacing w:after="0" w:before="0" w:line="240" w:lineRule="auto"/>
        <w:ind w:firstLine="709" w:left="0" w:right="0"/>
        <w:rPr>
          <w:rFonts w:ascii="Times New Roman" w:hAnsi="Times New Roman"/>
          <w:sz w:val="28"/>
        </w:rPr>
      </w:pPr>
    </w:p>
    <w:p w14:paraId="8E020000">
      <w:pPr>
        <w:pStyle w:val="Style_3"/>
        <w:widowControl w:val="1"/>
        <w:spacing w:after="200" w:before="0"/>
        <w:ind/>
        <w:rPr>
          <w:rFonts w:ascii="Times New Roman" w:hAnsi="Times New Roman"/>
          <w:color w:val="800080"/>
          <w:sz w:val="28"/>
        </w:rPr>
      </w:pPr>
      <w:bookmarkStart w:id="5" w:name="_GoBack"/>
      <w:bookmarkEnd w:id="5"/>
    </w:p>
    <w:sectPr>
      <w:headerReference r:id="rId1" w:type="default"/>
      <w:headerReference r:id="rId15" w:type="first"/>
      <w:headerReference r:id="rId3" w:type="even"/>
      <w:footerReference r:id="rId2" w:type="default"/>
      <w:footerReference r:id="rId1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Вр-2345692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  <w:widowControl w:val="1"/>
      <w:ind/>
      <w:jc w:val="right"/>
      <w:rPr>
        <w:rFonts w:ascii="Times New Roman" w:hAnsi="Times New Roman"/>
        <w:sz w:val="24"/>
      </w:rPr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  <w:widowControl w:val="1"/>
      <w:ind/>
      <w:jc w:val="right"/>
      <w:rPr>
        <w:rFonts w:ascii="Times New Roman" w:hAnsi="Times New Roman"/>
        <w:sz w:val="24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0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Subtitle1"/>
    <w:link w:val="Style_5_ch"/>
    <w:rPr>
      <w:rFonts w:ascii="XO Thames" w:hAnsi="XO Thames"/>
      <w:i w:val="1"/>
      <w:sz w:val="24"/>
    </w:rPr>
  </w:style>
  <w:style w:styleId="Style_5_ch" w:type="character">
    <w:name w:val="Subtitle1"/>
    <w:link w:val="Style_5"/>
    <w:rPr>
      <w:rFonts w:ascii="XO Thames" w:hAnsi="XO Thames"/>
      <w:i w:val="1"/>
      <w:sz w:val="24"/>
    </w:rPr>
  </w:style>
  <w:style w:styleId="Style_6" w:type="paragraph">
    <w:name w:val="toc 2"/>
    <w:next w:val="Style_3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Balloon Text1"/>
    <w:basedOn w:val="Style_3"/>
    <w:link w:val="Style_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_ch" w:type="character">
    <w:name w:val="Balloon Text1"/>
    <w:basedOn w:val="Style_3_ch"/>
    <w:link w:val="Style_7"/>
    <w:rPr>
      <w:rFonts w:ascii="Tahoma" w:hAnsi="Tahoma"/>
      <w:sz w:val="16"/>
    </w:rPr>
  </w:style>
  <w:style w:styleId="Style_8" w:type="paragraph">
    <w:name w:val="Footer1"/>
    <w:link w:val="Style_8_ch"/>
  </w:style>
  <w:style w:styleId="Style_8_ch" w:type="character">
    <w:name w:val="Footer1"/>
    <w:link w:val="Style_8"/>
  </w:style>
  <w:style w:styleId="Style_9" w:type="paragraph">
    <w:name w:val="toc 4"/>
    <w:next w:val="Style_3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Default Paragraph Font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toc 7"/>
    <w:next w:val="Style_3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Колонтитулы (user)"/>
    <w:basedOn w:val="Style_3"/>
    <w:link w:val="Style_13_ch"/>
  </w:style>
  <w:style w:styleId="Style_13_ch" w:type="character">
    <w:name w:val="Колонтитулы (user)"/>
    <w:basedOn w:val="Style_3_ch"/>
    <w:link w:val="Style_13"/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Contents 4"/>
    <w:link w:val="Style_15_ch"/>
    <w:rPr>
      <w:rFonts w:ascii="XO Thames" w:hAnsi="XO Thames"/>
      <w:sz w:val="28"/>
    </w:rPr>
  </w:style>
  <w:style w:styleId="Style_15_ch" w:type="character">
    <w:name w:val="Contents 4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Верхний колонтитул Знак1"/>
    <w:basedOn w:val="Style_11"/>
    <w:link w:val="Style_18_ch"/>
  </w:style>
  <w:style w:styleId="Style_18_ch" w:type="character">
    <w:name w:val="Верхний колонтитул Знак1"/>
    <w:basedOn w:val="Style_11_ch"/>
    <w:link w:val="Style_18"/>
  </w:style>
  <w:style w:styleId="Style_1" w:type="paragraph">
    <w:name w:val="header"/>
    <w:basedOn w:val="Style_3"/>
    <w:link w:val="Style_1_ch"/>
    <w:pPr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9" w:type="paragraph">
    <w:name w:val="Указатель (user)"/>
    <w:basedOn w:val="Style_3"/>
    <w:link w:val="Style_19_ch"/>
    <w:rPr>
      <w:rFonts w:ascii="PT Astra Serif" w:hAnsi="PT Astra Serif"/>
    </w:rPr>
  </w:style>
  <w:style w:styleId="Style_19_ch" w:type="character">
    <w:name w:val="Указатель (user)"/>
    <w:basedOn w:val="Style_3_ch"/>
    <w:link w:val="Style_19"/>
    <w:rPr>
      <w:rFonts w:ascii="PT Astra Serif" w:hAnsi="PT Astra Serif"/>
    </w:rPr>
  </w:style>
  <w:style w:styleId="Style_20" w:type="paragraph">
    <w:name w:val="Footnote1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Footnote1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Heading 31"/>
    <w:link w:val="Style_21_ch"/>
    <w:rPr>
      <w:rFonts w:ascii="XO Thames" w:hAnsi="XO Thames"/>
      <w:b w:val="1"/>
      <w:sz w:val="26"/>
    </w:rPr>
  </w:style>
  <w:style w:styleId="Style_21_ch" w:type="character">
    <w:name w:val="Heading 31"/>
    <w:link w:val="Style_21"/>
    <w:rPr>
      <w:rFonts w:ascii="XO Thames" w:hAnsi="XO Thames"/>
      <w:b w:val="1"/>
      <w:sz w:val="26"/>
    </w:rPr>
  </w:style>
  <w:style w:styleId="Style_22" w:type="paragraph">
    <w:name w:val="toc 3"/>
    <w:next w:val="Style_3"/>
    <w:link w:val="Style_22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Колонтитулы1"/>
    <w:link w:val="Style_2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3_ch" w:type="character">
    <w:name w:val="Колонтитулы1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8"/>
    <w:link w:val="Style_24_ch"/>
    <w:rPr>
      <w:rFonts w:ascii="XO Thames" w:hAnsi="XO Thames"/>
      <w:sz w:val="28"/>
    </w:rPr>
  </w:style>
  <w:style w:styleId="Style_24_ch" w:type="character">
    <w:name w:val="Contents 8"/>
    <w:link w:val="Style_24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5" w:type="paragraph">
    <w:name w:val="Heading 21"/>
    <w:link w:val="Style_25_ch"/>
    <w:rPr>
      <w:rFonts w:ascii="XO Thames" w:hAnsi="XO Thames"/>
      <w:b w:val="1"/>
      <w:sz w:val="28"/>
    </w:rPr>
  </w:style>
  <w:style w:styleId="Style_25_ch" w:type="character">
    <w:name w:val="Heading 21"/>
    <w:link w:val="Style_25"/>
    <w:rPr>
      <w:rFonts w:ascii="XO Thames" w:hAnsi="XO Thames"/>
      <w:b w:val="1"/>
      <w:sz w:val="28"/>
    </w:rPr>
  </w:style>
  <w:style w:styleId="Style_26" w:type="paragraph">
    <w:name w:val="heading 5"/>
    <w:next w:val="Style_3"/>
    <w:link w:val="Style_2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heading 1"/>
    <w:next w:val="Style_3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Heading 51"/>
    <w:link w:val="Style_28_ch"/>
    <w:rPr>
      <w:rFonts w:ascii="XO Thames" w:hAnsi="XO Thames"/>
      <w:b w:val="1"/>
      <w:sz w:val="22"/>
    </w:rPr>
  </w:style>
  <w:style w:styleId="Style_28_ch" w:type="character">
    <w:name w:val="Heading 51"/>
    <w:link w:val="Style_28"/>
    <w:rPr>
      <w:rFonts w:ascii="XO Thames" w:hAnsi="XO Thames"/>
      <w:b w:val="1"/>
      <w:sz w:val="22"/>
    </w:rPr>
  </w:style>
  <w:style w:styleId="Style_29" w:type="paragraph">
    <w:name w:val="Нижний колонтитул Знак1"/>
    <w:basedOn w:val="Style_11"/>
    <w:link w:val="Style_29_ch"/>
  </w:style>
  <w:style w:styleId="Style_29_ch" w:type="character">
    <w:name w:val="Нижний колонтитул Знак1"/>
    <w:basedOn w:val="Style_11_ch"/>
    <w:link w:val="Style_29"/>
  </w:style>
  <w:style w:styleId="Style_30" w:type="paragraph">
    <w:name w:val="Contents 5"/>
    <w:link w:val="Style_30_ch"/>
    <w:rPr>
      <w:rFonts w:ascii="XO Thames" w:hAnsi="XO Thames"/>
      <w:sz w:val="28"/>
    </w:rPr>
  </w:style>
  <w:style w:styleId="Style_30_ch" w:type="character">
    <w:name w:val="Contents 5"/>
    <w:link w:val="Style_30"/>
    <w:rPr>
      <w:rFonts w:ascii="XO Thames" w:hAnsi="XO Thames"/>
      <w:sz w:val="28"/>
    </w:rPr>
  </w:style>
  <w:style w:styleId="Style_31" w:type="paragraph">
    <w:name w:val="Contents 3"/>
    <w:link w:val="Style_31_ch"/>
    <w:rPr>
      <w:rFonts w:ascii="XO Thames" w:hAnsi="XO Thames"/>
      <w:sz w:val="28"/>
    </w:rPr>
  </w:style>
  <w:style w:styleId="Style_31_ch" w:type="character">
    <w:name w:val="Contents 3"/>
    <w:link w:val="Style_31"/>
    <w:rPr>
      <w:rFonts w:ascii="XO Thames" w:hAnsi="XO Thames"/>
      <w:sz w:val="28"/>
    </w:rPr>
  </w:style>
  <w:style w:styleId="Style_32" w:type="paragraph">
    <w:name w:val="Heading 41"/>
    <w:link w:val="Style_32_ch"/>
    <w:rPr>
      <w:rFonts w:ascii="XO Thames" w:hAnsi="XO Thames"/>
      <w:b w:val="1"/>
      <w:sz w:val="24"/>
    </w:rPr>
  </w:style>
  <w:style w:styleId="Style_32_ch" w:type="character">
    <w:name w:val="Heading 41"/>
    <w:link w:val="Style_32"/>
    <w:rPr>
      <w:rFonts w:ascii="XO Thames" w:hAnsi="XO Thames"/>
      <w:b w:val="1"/>
      <w:sz w:val="24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3"/>
    <w:link w:val="Style_3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Title1"/>
    <w:link w:val="Style_36_ch"/>
    <w:rPr>
      <w:rFonts w:ascii="XO Thames" w:hAnsi="XO Thames"/>
      <w:b w:val="1"/>
      <w:caps w:val="1"/>
      <w:sz w:val="40"/>
    </w:rPr>
  </w:style>
  <w:style w:styleId="Style_36_ch" w:type="character">
    <w:name w:val="Title1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er and Footer"/>
    <w:link w:val="Style_37_ch"/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tents 7"/>
    <w:link w:val="Style_38_ch"/>
    <w:rPr>
      <w:rFonts w:ascii="XO Thames" w:hAnsi="XO Thames"/>
      <w:sz w:val="28"/>
    </w:rPr>
  </w:style>
  <w:style w:styleId="Style_38_ch" w:type="character">
    <w:name w:val="Contents 7"/>
    <w:link w:val="Style_38"/>
    <w:rPr>
      <w:rFonts w:ascii="XO Thames" w:hAnsi="XO Thames"/>
      <w:sz w:val="28"/>
    </w:rPr>
  </w:style>
  <w:style w:styleId="Style_39" w:type="paragraph">
    <w:name w:val="Заголовок (user)"/>
    <w:basedOn w:val="Style_3"/>
    <w:next w:val="Style_40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 (user)"/>
    <w:basedOn w:val="Style_3_ch"/>
    <w:link w:val="Style_39"/>
    <w:rPr>
      <w:rFonts w:ascii="PT Astra Serif" w:hAnsi="PT Astra Serif"/>
      <w:sz w:val="28"/>
    </w:rPr>
  </w:style>
  <w:style w:styleId="Style_41" w:type="paragraph">
    <w:name w:val="Contents 6"/>
    <w:link w:val="Style_41_ch"/>
    <w:rPr>
      <w:rFonts w:ascii="XO Thames" w:hAnsi="XO Thames"/>
      <w:sz w:val="28"/>
    </w:rPr>
  </w:style>
  <w:style w:styleId="Style_41_ch" w:type="character">
    <w:name w:val="Contents 6"/>
    <w:link w:val="Style_41"/>
    <w:rPr>
      <w:rFonts w:ascii="XO Thames" w:hAnsi="XO Thames"/>
      <w:sz w:val="28"/>
    </w:rPr>
  </w:style>
  <w:style w:styleId="Style_42" w:type="paragraph">
    <w:name w:val="toc 9"/>
    <w:next w:val="Style_3"/>
    <w:link w:val="Style_4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List1"/>
    <w:basedOn w:val="Style_44"/>
    <w:link w:val="Style_43_ch"/>
    <w:rPr>
      <w:rFonts w:ascii="PT Astra Serif" w:hAnsi="PT Astra Serif"/>
    </w:rPr>
  </w:style>
  <w:style w:styleId="Style_43_ch" w:type="character">
    <w:name w:val="List1"/>
    <w:basedOn w:val="Style_44_ch"/>
    <w:link w:val="Style_43"/>
    <w:rPr>
      <w:rFonts w:ascii="PT Astra Serif" w:hAnsi="PT Astra Serif"/>
    </w:rPr>
  </w:style>
  <w:style w:styleId="Style_45" w:type="paragraph">
    <w:name w:val="toc 8"/>
    <w:next w:val="Style_3"/>
    <w:link w:val="Style_4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8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er1"/>
    <w:link w:val="Style_46_ch"/>
  </w:style>
  <w:style w:styleId="Style_46_ch" w:type="character">
    <w:name w:val="Header1"/>
    <w:link w:val="Style_46"/>
  </w:style>
  <w:style w:styleId="Style_47" w:type="paragraph">
    <w:name w:val="toc 5"/>
    <w:next w:val="Style_3"/>
    <w:link w:val="Style_4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Internet link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8_ch" w:type="character">
    <w:name w:val="Internet link"/>
    <w:link w:val="Style_48"/>
    <w:rPr>
      <w:rFonts w:ascii="Calibri" w:hAnsi="Calibri"/>
      <w:color w:val="0000FF"/>
      <w:spacing w:val="0"/>
      <w:sz w:val="22"/>
      <w:u w:val="single"/>
    </w:rPr>
  </w:style>
  <w:style w:styleId="Style_49" w:type="paragraph">
    <w:name w:val="Endnote1"/>
    <w:link w:val="Style_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Endnote1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Заголовок1"/>
    <w:basedOn w:val="Style_3"/>
    <w:next w:val="Style_40"/>
    <w:link w:val="Style_5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0_ch" w:type="character">
    <w:name w:val="Заголовок1"/>
    <w:basedOn w:val="Style_3_ch"/>
    <w:link w:val="Style_50"/>
    <w:rPr>
      <w:rFonts w:ascii="PT Astra Serif" w:hAnsi="PT Astra Serif"/>
      <w:sz w:val="28"/>
    </w:rPr>
  </w:style>
  <w:style w:styleId="Style_51" w:type="paragraph">
    <w:name w:val="Указатель1"/>
    <w:basedOn w:val="Style_3"/>
    <w:link w:val="Style_51_ch"/>
    <w:rPr>
      <w:rFonts w:ascii="PT Astra Serif" w:hAnsi="PT Astra Serif"/>
    </w:rPr>
  </w:style>
  <w:style w:styleId="Style_51_ch" w:type="character">
    <w:name w:val="Указатель1"/>
    <w:basedOn w:val="Style_3_ch"/>
    <w:link w:val="Style_51"/>
    <w:rPr>
      <w:rFonts w:ascii="PT Astra Serif" w:hAnsi="PT Astra Serif"/>
    </w:rPr>
  </w:style>
  <w:style w:styleId="Style_52" w:type="paragraph">
    <w:name w:val="Contents 2"/>
    <w:link w:val="Style_52_ch"/>
    <w:rPr>
      <w:rFonts w:ascii="XO Thames" w:hAnsi="XO Thames"/>
      <w:sz w:val="28"/>
    </w:rPr>
  </w:style>
  <w:style w:styleId="Style_52_ch" w:type="character">
    <w:name w:val="Contents 2"/>
    <w:link w:val="Style_52"/>
    <w:rPr>
      <w:rFonts w:ascii="XO Thames" w:hAnsi="XO Thames"/>
      <w:sz w:val="28"/>
    </w:rPr>
  </w:style>
  <w:style w:styleId="Style_53" w:type="paragraph">
    <w:name w:val="Caption1"/>
    <w:link w:val="Style_53_ch"/>
    <w:rPr>
      <w:rFonts w:ascii="PT Astra Serif" w:hAnsi="PT Astra Serif"/>
      <w:i w:val="1"/>
      <w:sz w:val="24"/>
    </w:rPr>
  </w:style>
  <w:style w:styleId="Style_53_ch" w:type="character">
    <w:name w:val="Caption1"/>
    <w:link w:val="Style_53"/>
    <w:rPr>
      <w:rFonts w:ascii="PT Astra Serif" w:hAnsi="PT Astra Serif"/>
      <w:i w:val="1"/>
      <w:sz w:val="24"/>
    </w:rPr>
  </w:style>
  <w:style w:styleId="Style_54" w:type="paragraph">
    <w:name w:val="Contents 1"/>
    <w:link w:val="Style_54_ch"/>
    <w:rPr>
      <w:rFonts w:ascii="XO Thames" w:hAnsi="XO Thames"/>
      <w:b w:val="1"/>
      <w:sz w:val="28"/>
    </w:rPr>
  </w:style>
  <w:style w:styleId="Style_54_ch" w:type="character">
    <w:name w:val="Contents 1"/>
    <w:link w:val="Style_54"/>
    <w:rPr>
      <w:rFonts w:ascii="XO Thames" w:hAnsi="XO Thames"/>
      <w:b w:val="1"/>
      <w:sz w:val="28"/>
    </w:rPr>
  </w:style>
  <w:style w:styleId="Style_55" w:type="paragraph">
    <w:name w:val="Subtitle"/>
    <w:next w:val="Style_3"/>
    <w:link w:val="Style_5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5_ch" w:type="character">
    <w:name w:val="Subtitle"/>
    <w:link w:val="Style_55"/>
    <w:rPr>
      <w:rFonts w:ascii="XO Thames" w:hAnsi="XO Thames"/>
      <w:i w:val="1"/>
      <w:color w:val="000000"/>
      <w:spacing w:val="0"/>
      <w:sz w:val="24"/>
    </w:rPr>
  </w:style>
  <w:style w:styleId="Style_40" w:type="paragraph">
    <w:name w:val="Body Text"/>
    <w:basedOn w:val="Style_3"/>
    <w:link w:val="Style_40_ch"/>
    <w:pPr>
      <w:widowControl w:val="1"/>
      <w:spacing w:after="140" w:before="0" w:line="276" w:lineRule="auto"/>
      <w:ind/>
    </w:pPr>
  </w:style>
  <w:style w:styleId="Style_40_ch" w:type="character">
    <w:name w:val="Body Text"/>
    <w:basedOn w:val="Style_3_ch"/>
    <w:link w:val="Style_40"/>
  </w:style>
  <w:style w:styleId="Style_56" w:type="paragraph">
    <w:name w:val="Title"/>
    <w:next w:val="Style_3"/>
    <w:link w:val="Style_5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color w:val="000000"/>
      <w:spacing w:val="0"/>
      <w:sz w:val="40"/>
    </w:rPr>
  </w:style>
  <w:style w:styleId="Style_57" w:type="paragraph">
    <w:name w:val="caption"/>
    <w:basedOn w:val="Style_3"/>
    <w:link w:val="Style_5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7_ch" w:type="character">
    <w:name w:val="caption"/>
    <w:basedOn w:val="Style_3_ch"/>
    <w:link w:val="Style_57"/>
    <w:rPr>
      <w:rFonts w:ascii="PT Astra Serif" w:hAnsi="PT Astra Serif"/>
      <w:i w:val="1"/>
      <w:sz w:val="24"/>
    </w:rPr>
  </w:style>
  <w:style w:styleId="Style_58" w:type="paragraph">
    <w:name w:val="heading 4"/>
    <w:next w:val="Style_3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Heading 11"/>
    <w:link w:val="Style_59_ch"/>
    <w:rPr>
      <w:rFonts w:ascii="XO Thames" w:hAnsi="XO Thames"/>
      <w:b w:val="1"/>
      <w:sz w:val="32"/>
    </w:rPr>
  </w:style>
  <w:style w:styleId="Style_59_ch" w:type="character">
    <w:name w:val="Heading 11"/>
    <w:link w:val="Style_59"/>
    <w:rPr>
      <w:rFonts w:ascii="XO Thames" w:hAnsi="XO Thames"/>
      <w:b w:val="1"/>
      <w:sz w:val="32"/>
    </w:rPr>
  </w:style>
  <w:style w:styleId="Style_60" w:type="paragraph">
    <w:name w:val="heading 2"/>
    <w:next w:val="Style_3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heading 2"/>
    <w:link w:val="Style_60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Text body"/>
    <w:link w:val="Style_44_ch"/>
  </w:style>
  <w:style w:styleId="Style_44_ch" w:type="character">
    <w:name w:val="Text body"/>
    <w:link w:val="Style_44"/>
  </w:style>
  <w:style w:styleId="Style_61" w:type="paragraph">
    <w:name w:val="List"/>
    <w:basedOn w:val="Style_40"/>
    <w:link w:val="Style_61_ch"/>
    <w:rPr>
      <w:rFonts w:ascii="PT Astra Serif" w:hAnsi="PT Astra Serif"/>
    </w:rPr>
  </w:style>
  <w:style w:styleId="Style_61_ch" w:type="character">
    <w:name w:val="List"/>
    <w:basedOn w:val="Style_40_ch"/>
    <w:link w:val="Style_61"/>
    <w:rPr>
      <w:rFonts w:ascii="PT Astra Serif" w:hAnsi="PT Astra Serif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WithEffects.xml" Type="http://schemas.microsoft.com/office/2007/relationships/stylesWithEffect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settings.xml" Type="http://schemas.openxmlformats.org/officeDocument/2006/relationships/settings"/>
  <Relationship Id="rId2" Target="footer2.xml" Type="http://schemas.openxmlformats.org/officeDocument/2006/relationships/foot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2026-03-13T04:28:40Z</dcterms:modified>
</cp:coreProperties>
</file>