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4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9000000">
      <w:pPr>
        <w:rPr>
          <w:spacing w:val="-4"/>
          <w:sz w:val="28"/>
        </w:rPr>
      </w:pPr>
    </w:p>
    <w:p w14:paraId="0A000000">
      <w:pPr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sz w:val="28"/>
        </w:rPr>
      </w:pPr>
      <w:r>
        <w:rPr>
          <w:spacing w:val="-4"/>
          <w:sz w:val="28"/>
        </w:rPr>
        <w:t>17.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1054</w:t>
      </w:r>
      <w:r>
        <w:rPr>
          <w:spacing w:val="-4"/>
          <w:sz w:val="28"/>
        </w:rPr>
        <w:t>-П</w:t>
      </w:r>
    </w:p>
    <w:p w14:paraId="0B000000">
      <w:pPr>
        <w:widowControl w:val="0"/>
        <w:spacing w:after="0" w:before="0" w:line="240" w:lineRule="auto"/>
        <w:ind w:right="4252"/>
        <w:rPr>
          <w:rFonts w:ascii="PT Astra Serif" w:hAnsi="PT Astra Serif"/>
          <w:b w:val="0"/>
          <w:sz w:val="28"/>
        </w:rPr>
      </w:pPr>
    </w:p>
    <w:p w14:paraId="0C000000">
      <w:pPr>
        <w:widowControl w:val="0"/>
        <w:spacing w:after="0" w:before="0" w:line="240" w:lineRule="auto"/>
        <w:ind w:right="4252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Об утверждении Порядка принятия </w:t>
      </w:r>
      <w:r>
        <w:rPr>
          <w:rFonts w:ascii="PT Astra Serif" w:hAnsi="PT Astra Serif"/>
          <w:b w:val="0"/>
          <w:sz w:val="28"/>
        </w:rPr>
        <w:t xml:space="preserve">решения о консервации объекта </w:t>
      </w:r>
      <w:r>
        <w:rPr>
          <w:rFonts w:ascii="PT Astra Serif" w:hAnsi="PT Astra Serif"/>
          <w:b w:val="0"/>
          <w:sz w:val="28"/>
        </w:rPr>
        <w:t xml:space="preserve">капитального строительства, </w:t>
      </w:r>
      <w:r>
        <w:rPr>
          <w:rFonts w:ascii="PT Astra Serif" w:hAnsi="PT Astra Serif"/>
          <w:b w:val="0"/>
          <w:sz w:val="28"/>
        </w:rPr>
        <w:t>находящегося в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 xml:space="preserve">муниципальной </w:t>
      </w:r>
      <w:r>
        <w:rPr>
          <w:rFonts w:ascii="PT Astra Serif" w:hAnsi="PT Astra Serif"/>
          <w:b w:val="0"/>
          <w:sz w:val="28"/>
        </w:rPr>
        <w:t xml:space="preserve">собственности </w:t>
      </w:r>
      <w:bookmarkStart w:id="1" w:name="_Hlk221713452"/>
      <w:r>
        <w:rPr>
          <w:rFonts w:ascii="PT Astra Serif" w:hAnsi="PT Astra Serif"/>
          <w:b w:val="0"/>
          <w:sz w:val="28"/>
        </w:rPr>
        <w:t xml:space="preserve">Магнитогорского </w:t>
      </w:r>
      <w:r>
        <w:rPr>
          <w:rFonts w:ascii="PT Astra Serif" w:hAnsi="PT Astra Serif"/>
          <w:b w:val="0"/>
          <w:sz w:val="28"/>
        </w:rPr>
        <w:t>городского округа</w:t>
      </w:r>
      <w:bookmarkEnd w:id="1"/>
    </w:p>
    <w:p w14:paraId="0D000000">
      <w:pPr>
        <w:widowControl w:val="0"/>
        <w:spacing w:after="0" w:before="0" w:line="240" w:lineRule="auto"/>
        <w:ind/>
        <w:rPr>
          <w:rFonts w:ascii="PT Astra Serif" w:hAnsi="PT Astra Serif"/>
          <w:b w:val="0"/>
          <w:sz w:val="28"/>
        </w:rPr>
      </w:pPr>
    </w:p>
    <w:p w14:paraId="0E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В соответствии с Федеральным законом от 20.03.2025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33-ФЗ</w:t>
      </w:r>
      <w:r>
        <w:br/>
      </w:r>
      <w:r>
        <w:rPr>
          <w:rFonts w:ascii="PT Astra Serif" w:hAnsi="PT Astra Serif"/>
          <w:b w:val="0"/>
          <w:color w:val="000000"/>
          <w:sz w:val="28"/>
        </w:rPr>
        <w:t>«Об общих принципах организации местного самоуправления в единой системе публичной власти», постановлением Правительства Российской Федерации от 30.05.2025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802 «Об утверждении Правил проведения консервации объекта капитального строительства», руководствуясь Уставом города Магнитогорска,</w:t>
      </w:r>
    </w:p>
    <w:p w14:paraId="0F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10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ПОСТАНОВЛЯЮ:</w:t>
      </w:r>
    </w:p>
    <w:p w14:paraId="11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1.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 xml:space="preserve">Утвердить прилагаемый Порядок принятия решения о проведении консервации объекта капитального строительства, </w:t>
      </w:r>
      <w:bookmarkStart w:id="2" w:name="_Hlk221701569"/>
      <w:r>
        <w:rPr>
          <w:rFonts w:ascii="PT Astra Serif" w:hAnsi="PT Astra Serif"/>
          <w:b w:val="0"/>
          <w:color w:val="000000"/>
          <w:sz w:val="28"/>
        </w:rPr>
        <w:t>находящегося</w:t>
      </w:r>
      <w:r>
        <w:br/>
      </w:r>
      <w:r>
        <w:rPr>
          <w:rFonts w:ascii="PT Astra Serif" w:hAnsi="PT Astra Serif"/>
          <w:b w:val="0"/>
          <w:color w:val="000000"/>
          <w:sz w:val="28"/>
        </w:rPr>
        <w:t xml:space="preserve">в муниципальной собственности </w:t>
      </w:r>
      <w:bookmarkStart w:id="3" w:name="_Hlk221701531"/>
      <w:r>
        <w:rPr>
          <w:rFonts w:ascii="PT Astra Serif" w:hAnsi="PT Astra Serif"/>
          <w:b w:val="0"/>
          <w:color w:val="000000"/>
          <w:sz w:val="28"/>
        </w:rPr>
        <w:t xml:space="preserve">Магнитогорского городского округа </w:t>
      </w:r>
      <w:bookmarkEnd w:id="2"/>
      <w:bookmarkEnd w:id="3"/>
      <w:r>
        <w:rPr>
          <w:rFonts w:ascii="PT Astra Serif" w:hAnsi="PT Astra Serif"/>
          <w:b w:val="0"/>
          <w:color w:val="000000"/>
          <w:sz w:val="28"/>
        </w:rPr>
        <w:t>(приложение).</w:t>
      </w:r>
    </w:p>
    <w:p w14:paraId="12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2.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Настоящее постановление вступает в силу с момента его подписания.</w:t>
      </w:r>
    </w:p>
    <w:p w14:paraId="13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3.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b w:val="0"/>
          <w:color w:val="000000"/>
          <w:sz w:val="28"/>
        </w:rPr>
        <w:t>Числова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Г.Д.) опубликовать настоящее постановление в средствах массовой информации и разместить</w:t>
      </w:r>
      <w:r>
        <w:br/>
      </w:r>
      <w:r>
        <w:rPr>
          <w:rFonts w:ascii="PT Astra Serif" w:hAnsi="PT Astra Serif"/>
          <w:b w:val="0"/>
          <w:color w:val="000000"/>
          <w:sz w:val="28"/>
        </w:rPr>
        <w:t>на официальном сайте администрации города Магнитогорска.</w:t>
      </w:r>
    </w:p>
    <w:p w14:paraId="14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4.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PT Astra Serif" w:hAnsi="PT Astra Serif"/>
          <w:b w:val="0"/>
          <w:color w:val="000000"/>
          <w:sz w:val="28"/>
        </w:rPr>
        <w:t>на заместителя главы города Магнитогорска Москалева М.В.</w:t>
      </w:r>
    </w:p>
    <w:p w14:paraId="15000000">
      <w:pPr>
        <w:widowControl w:val="0"/>
        <w:spacing w:after="0" w:before="0" w:line="240" w:lineRule="auto"/>
        <w:ind/>
        <w:jc w:val="right"/>
        <w:rPr>
          <w:rFonts w:ascii="PT Astra Serif" w:hAnsi="PT Astra Serif"/>
          <w:b w:val="0"/>
          <w:color w:val="000000"/>
          <w:sz w:val="28"/>
        </w:rPr>
      </w:pPr>
      <w:bookmarkStart w:id="4" w:name="_GoBack"/>
      <w:bookmarkEnd w:id="4"/>
    </w:p>
    <w:p w14:paraId="16000000">
      <w:pPr>
        <w:widowControl w:val="0"/>
        <w:spacing w:after="0" w:before="0" w:line="240" w:lineRule="auto"/>
        <w:ind/>
        <w:jc w:val="right"/>
        <w:rPr>
          <w:rFonts w:ascii="PT Astra Serif" w:hAnsi="PT Astra Serif"/>
          <w:b w:val="0"/>
          <w:color w:val="000000"/>
          <w:sz w:val="28"/>
        </w:rPr>
      </w:pPr>
    </w:p>
    <w:p w14:paraId="17000000">
      <w:pPr>
        <w:widowControl w:val="0"/>
        <w:spacing w:after="0" w:before="0" w:line="240" w:lineRule="auto"/>
        <w:ind/>
        <w:jc w:val="right"/>
        <w:rPr>
          <w:rFonts w:ascii="PT Astra Serif" w:hAnsi="PT Astra Serif"/>
          <w:b w:val="0"/>
          <w:color w:val="000000"/>
          <w:sz w:val="28"/>
        </w:rPr>
      </w:pPr>
    </w:p>
    <w:p w14:paraId="18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Глава города Магнитогорска                                                         </w:t>
      </w:r>
      <w:r>
        <w:rPr>
          <w:rFonts w:ascii="PT Astra Serif" w:hAnsi="PT Astra Serif"/>
          <w:b w:val="0"/>
          <w:color w:val="000000"/>
          <w:sz w:val="28"/>
        </w:rPr>
        <w:t>С.Н. Бердников</w:t>
      </w:r>
    </w:p>
    <w:p w14:paraId="19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1A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16"/>
        </w:rPr>
      </w:pPr>
    </w:p>
    <w:p w14:paraId="1B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4"/>
        </w:rPr>
      </w:pPr>
    </w:p>
    <w:p w14:paraId="1C000000">
      <w:pPr>
        <w:sectPr>
          <w:headerReference r:id="rId3" w:type="default"/>
          <w:footerReference r:id="rId4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1D000000">
      <w:pPr>
        <w:widowControl w:val="0"/>
        <w:spacing w:after="0" w:before="0" w:line="240" w:lineRule="auto"/>
        <w:ind w:firstLine="0" w:left="5669"/>
        <w:jc w:val="left"/>
        <w:rPr>
          <w:rFonts w:ascii="PT Astra Serif" w:hAnsi="PT Astra Serif"/>
          <w:b w:val="0"/>
          <w:color w:val="000000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>Приложение</w:t>
      </w:r>
    </w:p>
    <w:p w14:paraId="1E000000">
      <w:pPr>
        <w:widowControl w:val="0"/>
        <w:spacing w:after="0" w:before="0" w:line="240" w:lineRule="auto"/>
        <w:ind w:firstLine="0" w:left="5669"/>
        <w:jc w:val="left"/>
        <w:rPr>
          <w:rFonts w:ascii="PT Astra Serif" w:hAnsi="PT Astra Serif"/>
          <w:b w:val="0"/>
          <w:color w:val="000000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>к постановлению администрации</w:t>
      </w:r>
    </w:p>
    <w:p w14:paraId="1F000000">
      <w:pPr>
        <w:widowControl w:val="0"/>
        <w:spacing w:after="0" w:before="0" w:line="240" w:lineRule="auto"/>
        <w:ind w:firstLine="0" w:left="5669"/>
        <w:jc w:val="left"/>
        <w:rPr>
          <w:rFonts w:ascii="PT Astra Serif" w:hAnsi="PT Astra Serif"/>
          <w:b w:val="0"/>
          <w:color w:val="000000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>города Магнитогорска</w:t>
      </w:r>
    </w:p>
    <w:p w14:paraId="20000000">
      <w:pPr>
        <w:widowControl w:val="0"/>
        <w:spacing w:after="0" w:before="0" w:line="240" w:lineRule="auto"/>
        <w:ind w:firstLine="0" w:left="5669"/>
        <w:jc w:val="left"/>
        <w:rPr>
          <w:rFonts w:ascii="PT Astra Serif" w:hAnsi="PT Astra Serif"/>
          <w:b w:val="0"/>
          <w:color w:val="000000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>от 17.02.2026 № 1054-П</w:t>
      </w:r>
    </w:p>
    <w:p w14:paraId="21000000">
      <w:pPr>
        <w:widowControl w:val="0"/>
        <w:spacing w:after="0" w:before="0" w:line="240" w:lineRule="auto"/>
        <w:ind w:firstLine="0" w:left="0"/>
        <w:jc w:val="left"/>
        <w:rPr>
          <w:rFonts w:ascii="PT Astra Serif" w:hAnsi="PT Astra Serif"/>
          <w:b w:val="0"/>
          <w:color w:val="000000"/>
          <w:sz w:val="24"/>
        </w:rPr>
      </w:pPr>
    </w:p>
    <w:p w14:paraId="22000000">
      <w:pPr>
        <w:widowControl w:val="0"/>
        <w:spacing w:after="0" w:before="0" w:line="240" w:lineRule="auto"/>
        <w:ind w:firstLine="0" w:left="0"/>
        <w:jc w:val="left"/>
        <w:rPr>
          <w:rFonts w:ascii="PT Astra Serif" w:hAnsi="PT Astra Serif"/>
          <w:b w:val="0"/>
          <w:color w:val="000000"/>
          <w:sz w:val="24"/>
        </w:rPr>
      </w:pPr>
    </w:p>
    <w:p w14:paraId="23000000">
      <w:pPr>
        <w:widowControl w:val="0"/>
        <w:spacing w:after="0" w:before="0" w:line="240" w:lineRule="auto"/>
        <w:ind w:firstLine="0" w:left="0"/>
        <w:jc w:val="center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ПОРЯДОК</w:t>
      </w:r>
    </w:p>
    <w:p w14:paraId="24000000">
      <w:pPr>
        <w:widowControl w:val="0"/>
        <w:spacing w:after="0" w:before="0" w:line="240" w:lineRule="auto"/>
        <w:ind w:firstLine="0" w:left="0"/>
        <w:jc w:val="center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принятия решения о проведении консервации объекта</w:t>
      </w:r>
    </w:p>
    <w:p w14:paraId="25000000">
      <w:pPr>
        <w:widowControl w:val="0"/>
        <w:spacing w:after="0" w:before="0" w:line="240" w:lineRule="auto"/>
        <w:ind w:firstLine="0" w:left="0"/>
        <w:jc w:val="center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 xml:space="preserve">капитального строительства, находящегося </w:t>
      </w:r>
      <w:bookmarkStart w:id="5" w:name="_Hlk221701614"/>
      <w:r>
        <w:rPr>
          <w:rFonts w:ascii="PT Astra Serif" w:hAnsi="PT Astra Serif"/>
          <w:b w:val="0"/>
          <w:color w:val="000000"/>
          <w:sz w:val="27"/>
        </w:rPr>
        <w:t>в муниципальной собственности</w:t>
      </w:r>
    </w:p>
    <w:p w14:paraId="26000000">
      <w:pPr>
        <w:widowControl w:val="0"/>
        <w:spacing w:after="0" w:before="0" w:line="240" w:lineRule="auto"/>
        <w:ind w:firstLine="0" w:left="0"/>
        <w:jc w:val="center"/>
        <w:rPr>
          <w:rFonts w:ascii="PT Astra Serif" w:hAnsi="PT Astra Serif"/>
          <w:b w:val="0"/>
          <w:color w:val="000000"/>
          <w:sz w:val="27"/>
        </w:rPr>
      </w:pPr>
      <w:bookmarkStart w:id="6" w:name="_Hlk221701650"/>
      <w:r>
        <w:rPr>
          <w:rFonts w:ascii="PT Astra Serif" w:hAnsi="PT Astra Serif"/>
          <w:b w:val="0"/>
          <w:color w:val="000000"/>
          <w:sz w:val="27"/>
        </w:rPr>
        <w:t xml:space="preserve">Магнитогорского городского округа </w:t>
      </w:r>
      <w:bookmarkEnd w:id="5"/>
      <w:bookmarkEnd w:id="6"/>
    </w:p>
    <w:p w14:paraId="27000000">
      <w:pPr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  <w:sz w:val="27"/>
        </w:rPr>
      </w:pPr>
    </w:p>
    <w:p w14:paraId="28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1.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 xml:space="preserve">Настоящий Порядок принятия решения о консервации объекта капитального строительства муниципальной собственности </w:t>
      </w:r>
      <w:bookmarkStart w:id="7" w:name="_Hlk221890616"/>
      <w:r>
        <w:rPr>
          <w:rFonts w:ascii="PT Astra Serif" w:hAnsi="PT Astra Serif"/>
          <w:b w:val="0"/>
          <w:color w:val="000000"/>
          <w:sz w:val="27"/>
        </w:rPr>
        <w:t xml:space="preserve">Магнитогорского городского округа Челябинской области </w:t>
      </w:r>
      <w:bookmarkEnd w:id="7"/>
      <w:r>
        <w:rPr>
          <w:rFonts w:ascii="PT Astra Serif" w:hAnsi="PT Astra Serif"/>
          <w:b w:val="0"/>
          <w:color w:val="000000"/>
          <w:sz w:val="27"/>
        </w:rPr>
        <w:t>(далее – настоящий Порядок) разработан на основании правил проведения консервации объекта капитального строительства, утвержденных постановлением Правительства Российской Федерации от 30.05.2025 №</w:t>
      </w:r>
      <w:r>
        <w:rPr>
          <w:rFonts w:ascii="PT Astra Serif" w:hAnsi="PT Astra Serif"/>
          <w:b w:val="0"/>
          <w:color w:val="000000"/>
          <w:spacing w:val="0"/>
          <w:sz w:val="27"/>
        </w:rPr>
        <w:t> </w:t>
      </w:r>
      <w:r>
        <w:rPr>
          <w:rFonts w:ascii="PT Astra Serif" w:hAnsi="PT Astra Serif"/>
          <w:b w:val="0"/>
          <w:color w:val="000000"/>
          <w:sz w:val="27"/>
        </w:rPr>
        <w:t xml:space="preserve">802 (далее – Правила проведения консервации ОКС) и определяет последовательность действий и взаимодействие ответственных лиц при возникновении необходимости консервации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бюджета Магнитогорского городского округа Челябинской области. </w:t>
      </w:r>
    </w:p>
    <w:p w14:paraId="29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2.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 xml:space="preserve">Решение о консервации объекта капитального строительства (далее – решение о консервации) принимается при необходимости прекращения работ по строительству, реконструкции объекта капитального строительства или их приостановления более чем на 6 месяцев. </w:t>
      </w:r>
    </w:p>
    <w:p w14:paraId="2A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3.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>Решение о консервации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местного бюджета, принимается в форме правового акта в соответствии с настоящим Порядком.</w:t>
      </w:r>
    </w:p>
    <w:p w14:paraId="2B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 xml:space="preserve">Проект указанного решения о консервации объекта капитального строительства </w:t>
      </w:r>
      <w:bookmarkStart w:id="8" w:name="_Hlk222127734"/>
      <w:r>
        <w:rPr>
          <w:rFonts w:ascii="PT Astra Serif" w:hAnsi="PT Astra Serif"/>
          <w:b w:val="0"/>
          <w:color w:val="000000"/>
          <w:sz w:val="27"/>
        </w:rPr>
        <w:t xml:space="preserve">подготавливается главным распорядителем средств бюджета города – </w:t>
      </w:r>
      <w:r>
        <w:rPr>
          <w:rFonts w:ascii="PT Astra Serif" w:hAnsi="PT Astra Serif"/>
          <w:b w:val="0"/>
          <w:color w:val="000000"/>
          <w:sz w:val="27"/>
        </w:rPr>
        <w:t>УТиКХ</w:t>
      </w:r>
      <w:r>
        <w:rPr>
          <w:rFonts w:ascii="PT Astra Serif" w:hAnsi="PT Astra Serif"/>
          <w:b w:val="0"/>
          <w:color w:val="000000"/>
          <w:sz w:val="27"/>
        </w:rPr>
        <w:t xml:space="preserve"> на основании обращения муниципального заказчика</w:t>
      </w:r>
      <w:r>
        <w:br/>
      </w:r>
      <w:r>
        <w:rPr>
          <w:rFonts w:ascii="PT Astra Serif" w:hAnsi="PT Astra Serif"/>
          <w:b w:val="0"/>
          <w:color w:val="000000"/>
          <w:sz w:val="27"/>
        </w:rPr>
        <w:t>МКУ «УКС» и направляется на согласование в установленном порядке.</w:t>
      </w:r>
      <w:bookmarkEnd w:id="8"/>
    </w:p>
    <w:p w14:paraId="2C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4.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 xml:space="preserve">Решение о консервации принимается в форме постановления администрации </w:t>
      </w:r>
      <w:bookmarkStart w:id="9" w:name="_Hlk221890526"/>
      <w:r>
        <w:rPr>
          <w:rFonts w:ascii="PT Astra Serif" w:hAnsi="PT Astra Serif"/>
          <w:b w:val="0"/>
          <w:color w:val="000000"/>
          <w:sz w:val="27"/>
        </w:rPr>
        <w:t>Магнитогорского городского округа Челябинской области.</w:t>
      </w:r>
      <w:bookmarkEnd w:id="9"/>
    </w:p>
    <w:p w14:paraId="2D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5.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>В решении о консервации объекта капитального строительства должны быть определены:</w:t>
      </w:r>
    </w:p>
    <w:p w14:paraId="2E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а)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>перечень работ по консервации объекта капитального строительства, сформированный с учетом положений пункта 8 настоящего Порядка;</w:t>
      </w:r>
    </w:p>
    <w:p w14:paraId="2F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б)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>лица, ответственные за сохранность и безопасность объекта капитального строительства, в том числе конструкций, оборудования, материалов, а также строительной площадки (должностное лицо МКУ «УКС»);</w:t>
      </w:r>
    </w:p>
    <w:p w14:paraId="30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в)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>сроки подготовки комплекта документов, включающего графические, расчетные и текстовые материалы, необходимые для организации и проведения работ по консервации объекта капитального строительства (далее - техническая документация), а также сроки начала и окончания проведения работ по его консервации;</w:t>
      </w:r>
    </w:p>
    <w:p w14:paraId="31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г)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>размер средств на проведение работ по консервации объекта капитального строительства, определяемый на основании акта, подготовленного МКУ «УКС» и утвержденного заместителем главы города по городскому хозяйству;</w:t>
      </w:r>
    </w:p>
    <w:p w14:paraId="32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д)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>источник финансового обеспечения расходов, связанных</w:t>
      </w:r>
      <w:r>
        <w:br/>
      </w:r>
      <w:r>
        <w:rPr>
          <w:rFonts w:ascii="PT Astra Serif" w:hAnsi="PT Astra Serif"/>
          <w:b w:val="0"/>
          <w:color w:val="000000"/>
          <w:sz w:val="27"/>
        </w:rPr>
        <w:t>с консервацией объекта капитального строительства.</w:t>
      </w:r>
    </w:p>
    <w:p w14:paraId="33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6.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 xml:space="preserve">На основании решения о консервации объекта капитального строительства МКУ «УКС» совместно с подрядчиком проводит инвентаризацию выполненных работ по строительству, реконструкции объекта капитального строительства с целью зафиксировать фактическое состояние объекта капитального строительства, наличие проектной, рабочей документации, конструкций, материалов и оборудования. При этом: </w:t>
      </w:r>
    </w:p>
    <w:p w14:paraId="34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а)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 xml:space="preserve">выполняются схемы и чертежи с описанием состояния объекта капитального строительства и указанием объемов выполненных работ; </w:t>
      </w:r>
    </w:p>
    <w:p w14:paraId="35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б)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 xml:space="preserve">составляются ведомости, в которых указываются сведения: </w:t>
      </w:r>
    </w:p>
    <w:p w14:paraId="36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о конструкциях, оборудовании и материалах, примененных (смонтированных) на объекте капитального строительства, в том числе</w:t>
      </w:r>
      <w:r>
        <w:br/>
      </w:r>
      <w:r>
        <w:rPr>
          <w:rFonts w:ascii="PT Astra Serif" w:hAnsi="PT Astra Serif"/>
          <w:b w:val="0"/>
          <w:color w:val="000000"/>
          <w:sz w:val="27"/>
        </w:rPr>
        <w:t xml:space="preserve">о конструкциях, оборудовании и материалах, не использованных на объекте капитального строительства и подлежащих хранению; </w:t>
      </w:r>
    </w:p>
    <w:p w14:paraId="37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 xml:space="preserve">о наличии (отсутствии) исполнительной документации. </w:t>
      </w:r>
    </w:p>
    <w:p w14:paraId="38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7.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>После принятия решения о консервации МКУ «УКС» обеспечивает подготовку технической документации и утверждает ее.</w:t>
      </w:r>
      <w:r>
        <w:rPr>
          <w:rFonts w:ascii="PT Astra Serif" w:hAnsi="PT Astra Serif"/>
          <w:b w:val="0"/>
        </w:rPr>
        <w:t xml:space="preserve"> </w:t>
      </w:r>
      <w:r>
        <w:rPr>
          <w:rFonts w:ascii="PT Astra Serif" w:hAnsi="PT Astra Serif"/>
          <w:b w:val="0"/>
          <w:color w:val="000000"/>
          <w:sz w:val="27"/>
        </w:rPr>
        <w:t>Объем и содержание технической документации определяются МКУ «УКС».</w:t>
      </w:r>
    </w:p>
    <w:p w14:paraId="39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8.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>В состав работ по консервации объекта капитального строительства входят в том числе:</w:t>
      </w:r>
    </w:p>
    <w:p w14:paraId="3A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а)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>выполнение конструкций, в том числе временных, принимающих проектные нагрузки;</w:t>
      </w:r>
    </w:p>
    <w:p w14:paraId="3B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б)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>монтаж оборудования, дополнительно закрепляющего неустойчивые конструкции и элементы, или демонтаж таких конструкций и элементов;</w:t>
      </w:r>
    </w:p>
    <w:p w14:paraId="3C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в)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>освобождение емкостей и трубопроводов от опасных и горючих жидкостей, закрытие или сварка люков и крупных отверстий;</w:t>
      </w:r>
    </w:p>
    <w:p w14:paraId="3D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г)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>приведение технологического оборудования в безопасное состояние;</w:t>
      </w:r>
    </w:p>
    <w:p w14:paraId="3E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д)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>отключение инженерных коммуникаций, в том числе временных</w:t>
      </w:r>
      <w:r>
        <w:br/>
      </w:r>
      <w:r>
        <w:rPr>
          <w:rFonts w:ascii="PT Astra Serif" w:hAnsi="PT Astra Serif"/>
          <w:b w:val="0"/>
          <w:color w:val="000000"/>
          <w:sz w:val="27"/>
        </w:rPr>
        <w:t>(за исключением тех, которые необходимы для обеспечения сохранности объекта капитального строительства);</w:t>
      </w:r>
    </w:p>
    <w:p w14:paraId="3F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е)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>принятие необходимых мер, препятствующих несанкционированному доступу внутрь объекта капитального строительства и на территорию строительной площадки.</w:t>
      </w:r>
    </w:p>
    <w:p w14:paraId="40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9.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>МКУ «УКС» в течение 10 календарных дней после принятия решения о консервации объекта капитального строительства уведомляет об этом подрядчика, орган, выдавший разрешение на строительство, реконструкцию- Управление архитектуры и градостроительства администрации города, а также уполномоченные на осуществление государственного строительного надзора федеральный орган исполнительной власти, исполнительный орган субъекта Российской Федерации или Государственную корпорацию по атомной энергии «</w:t>
      </w:r>
      <w:r>
        <w:rPr>
          <w:rFonts w:ascii="PT Astra Serif" w:hAnsi="PT Astra Serif"/>
          <w:b w:val="0"/>
          <w:color w:val="000000"/>
          <w:sz w:val="27"/>
        </w:rPr>
        <w:t>Росатом»</w:t>
      </w:r>
      <w:r>
        <w:rPr>
          <w:rFonts w:ascii="PT Astra Serif" w:hAnsi="PT Astra Serif"/>
          <w:b w:val="0"/>
          <w:color w:val="000000"/>
          <w:sz w:val="27"/>
        </w:rPr>
        <w:t xml:space="preserve"> в случае, если строительство, реконструкция объекта капитального строительства подлежат государственному строительному надзору.</w:t>
      </w:r>
    </w:p>
    <w:p w14:paraId="41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10.</w:t>
      </w:r>
      <w:r>
        <w:rPr>
          <w:rFonts w:ascii="PT Astra Serif" w:hAnsi="PT Astra Serif"/>
          <w:b w:val="0"/>
          <w:color w:val="000000"/>
          <w:spacing w:val="0"/>
          <w:sz w:val="27"/>
        </w:rPr>
        <w:t> </w:t>
      </w:r>
      <w:r>
        <w:rPr>
          <w:rFonts w:ascii="PT Astra Serif" w:hAnsi="PT Astra Serif"/>
          <w:b w:val="0"/>
          <w:color w:val="000000"/>
          <w:sz w:val="27"/>
        </w:rPr>
        <w:t>Проект решения о возобновлении строительства, реконструкции законсервированного объекта капитального строительства, а также</w:t>
      </w:r>
      <w:r>
        <w:br/>
      </w:r>
      <w:r>
        <w:rPr>
          <w:rFonts w:ascii="PT Astra Serif" w:hAnsi="PT Astra Serif"/>
          <w:b w:val="0"/>
          <w:color w:val="000000"/>
          <w:sz w:val="27"/>
        </w:rPr>
        <w:t xml:space="preserve">об источнике финансового обеспечения расходов, связанных с приведением ранее законсервированного объекта капитального строительства в состояние, при котором возможно продолжение его строительства, реконструкции, </w:t>
      </w:r>
      <w:bookmarkStart w:id="10" w:name="_Hlk222128114"/>
      <w:r>
        <w:rPr>
          <w:rFonts w:ascii="PT Astra Serif" w:hAnsi="PT Astra Serif"/>
          <w:b w:val="0"/>
          <w:color w:val="000000"/>
          <w:sz w:val="27"/>
        </w:rPr>
        <w:t xml:space="preserve">подготавливается главным распорядителем средств бюджета города – </w:t>
      </w:r>
      <w:r>
        <w:rPr>
          <w:rFonts w:ascii="PT Astra Serif" w:hAnsi="PT Astra Serif"/>
          <w:b w:val="0"/>
          <w:color w:val="000000"/>
          <w:sz w:val="27"/>
        </w:rPr>
        <w:t>УТиКХ</w:t>
      </w:r>
      <w:r>
        <w:rPr>
          <w:rFonts w:ascii="PT Astra Serif" w:hAnsi="PT Astra Serif"/>
          <w:b w:val="0"/>
          <w:color w:val="000000"/>
          <w:sz w:val="27"/>
        </w:rPr>
        <w:t xml:space="preserve"> на основании обращения муниципального заказчика МКУ «УКС»</w:t>
      </w:r>
      <w:r>
        <w:br/>
      </w:r>
      <w:bookmarkEnd w:id="10"/>
      <w:r>
        <w:rPr>
          <w:rFonts w:ascii="PT Astra Serif" w:hAnsi="PT Astra Serif"/>
          <w:b w:val="0"/>
          <w:color w:val="000000"/>
          <w:sz w:val="27"/>
        </w:rPr>
        <w:t>и направляется на согласование в установленном порядке.</w:t>
      </w:r>
    </w:p>
    <w:p w14:paraId="42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11.</w:t>
      </w:r>
      <w:r>
        <w:rPr>
          <w:rFonts w:ascii="PT Astra Serif" w:hAnsi="PT Astra Serif"/>
          <w:b w:val="0"/>
          <w:color w:val="000000"/>
          <w:spacing w:val="0"/>
          <w:sz w:val="27"/>
        </w:rPr>
        <w:t> </w:t>
      </w:r>
      <w:r>
        <w:rPr>
          <w:rFonts w:ascii="PT Astra Serif" w:hAnsi="PT Astra Serif"/>
          <w:b w:val="0"/>
          <w:color w:val="000000"/>
          <w:sz w:val="27"/>
        </w:rPr>
        <w:t>В случае возобновления строительства, реконструкции на ранее законсервированном объекте капитального строительства МКУ «УКС» осуществляет:</w:t>
      </w:r>
    </w:p>
    <w:p w14:paraId="43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а)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>обследование технического состояния объекта капитального строительства, по результатам которого определяются необходимый объем</w:t>
      </w:r>
      <w:r>
        <w:br/>
      </w:r>
      <w:r>
        <w:rPr>
          <w:rFonts w:ascii="PT Astra Serif" w:hAnsi="PT Astra Serif"/>
          <w:b w:val="0"/>
          <w:color w:val="000000"/>
          <w:sz w:val="27"/>
        </w:rPr>
        <w:t>и стоимость работ по восстановлению утраченных или разрушенных за период консервации конструктивных элементов или деталей объекта капитального строительства;</w:t>
      </w:r>
    </w:p>
    <w:p w14:paraId="44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б)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>внесение (при необходимости) изменений в проектную документацию, получившую положительное заключение экспертизы проектной документации, с последующим проведением в отношении указанных изменений государственной экспертизы проектной документации и государственной экологической экспертизы (если законодательством Российской Федерации предусмотрено проведение государственной экологической экспертизы) либо подготовку новой проектной документации.</w:t>
      </w:r>
    </w:p>
    <w:p w14:paraId="45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12.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 xml:space="preserve">МКУ «УКС» заблаговременно, но не позднее чем за 7 рабочих дней до возобновления строительства, реконструкции объекта капитального строительства, направить в орган, выдавший разрешение на строительство, реконструкцию объекта капитального строительства, а также в уполномоченные на осуществление государственного строительного надзора федеральный орган исполнительной власти, исполнительный орган субъекта Российской Федерации </w:t>
      </w:r>
      <w:r>
        <w:rPr>
          <w:rFonts w:ascii="PT Astra Serif" w:hAnsi="PT Astra Serif"/>
          <w:b w:val="0"/>
          <w:color w:val="000000"/>
          <w:sz w:val="27"/>
        </w:rPr>
        <w:t>или Государственную корпорацию по атомной энергии «</w:t>
      </w:r>
      <w:r>
        <w:rPr>
          <w:rFonts w:ascii="PT Astra Serif" w:hAnsi="PT Astra Serif"/>
          <w:b w:val="0"/>
          <w:color w:val="000000"/>
          <w:sz w:val="27"/>
        </w:rPr>
        <w:t>Росатом»</w:t>
      </w:r>
      <w:r>
        <w:rPr>
          <w:rFonts w:ascii="PT Astra Serif" w:hAnsi="PT Astra Serif"/>
          <w:b w:val="0"/>
          <w:color w:val="000000"/>
          <w:sz w:val="27"/>
        </w:rPr>
        <w:t xml:space="preserve"> в случае, если строительство, реконструкция объекта капитального строительства подлежат государственному строительному надзору, уведомление</w:t>
      </w:r>
      <w:r>
        <w:br/>
      </w:r>
      <w:r>
        <w:rPr>
          <w:rFonts w:ascii="PT Astra Serif" w:hAnsi="PT Astra Serif"/>
          <w:b w:val="0"/>
          <w:color w:val="000000"/>
          <w:sz w:val="27"/>
        </w:rPr>
        <w:t>о возобновлении строительства, реконструкции объекта капитального строительства.</w:t>
      </w:r>
    </w:p>
    <w:p w14:paraId="46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13.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>Финансовое обеспечение расходов, связанных с консервацией объекта капитального строительства или расходов, связанных с приведением такого объекта капитального строительства, ранее законсервированного, в состояние, при котором возможно продолжение его строительства, реконструкции, осуществляется в пределах бюджетных ассигнований, предусмотренных</w:t>
      </w:r>
      <w:r>
        <w:br/>
      </w:r>
      <w:r>
        <w:rPr>
          <w:rFonts w:ascii="PT Astra Serif" w:hAnsi="PT Astra Serif"/>
          <w:b w:val="0"/>
          <w:color w:val="000000"/>
          <w:sz w:val="27"/>
        </w:rPr>
        <w:t>МКУ «УКС», на данные цели.</w:t>
      </w:r>
    </w:p>
    <w:p w14:paraId="47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7"/>
        </w:rPr>
      </w:pPr>
      <w:r>
        <w:rPr>
          <w:rFonts w:ascii="PT Astra Serif" w:hAnsi="PT Astra Serif"/>
          <w:b w:val="0"/>
          <w:color w:val="000000"/>
          <w:sz w:val="27"/>
        </w:rPr>
        <w:t>14.</w:t>
      </w:r>
      <w:r>
        <w:rPr>
          <w:rFonts w:ascii="PT Astra Serif" w:hAnsi="PT Astra Serif"/>
          <w:b w:val="0"/>
          <w:color w:val="000000"/>
          <w:spacing w:val="0"/>
          <w:sz w:val="27"/>
        </w:rPr>
        <w:t>  </w:t>
      </w:r>
      <w:r>
        <w:rPr>
          <w:rFonts w:ascii="PT Astra Serif" w:hAnsi="PT Astra Serif"/>
          <w:b w:val="0"/>
          <w:color w:val="000000"/>
          <w:sz w:val="27"/>
        </w:rPr>
        <w:t xml:space="preserve">Решение о возобновлении строительства, реконструкции ранее законсервированного объекта капитального строительства принимается в форме </w:t>
      </w:r>
      <w:r>
        <w:rPr>
          <w:rFonts w:ascii="PT Astra Serif" w:hAnsi="PT Astra Serif"/>
          <w:b w:val="0"/>
          <w:color w:val="000000"/>
          <w:sz w:val="27"/>
        </w:rPr>
        <w:t>постановление администрации города Магнитогорска</w:t>
      </w:r>
      <w:r>
        <w:rPr>
          <w:rFonts w:ascii="PT Astra Serif" w:hAnsi="PT Astra Serif"/>
          <w:b w:val="0"/>
          <w:color w:val="000000"/>
          <w:sz w:val="27"/>
        </w:rPr>
        <w:t xml:space="preserve"> </w:t>
      </w:r>
      <w:r>
        <w:rPr>
          <w:rFonts w:ascii="PT Astra Serif" w:hAnsi="PT Astra Serif"/>
          <w:b w:val="0"/>
          <w:color w:val="000000"/>
          <w:sz w:val="27"/>
        </w:rPr>
        <w:t>Челябинской области</w:t>
      </w:r>
      <w:r>
        <w:rPr>
          <w:rFonts w:ascii="PT Astra Serif" w:hAnsi="PT Astra Serif"/>
          <w:b w:val="0"/>
        </w:rPr>
        <w:t xml:space="preserve"> </w:t>
      </w:r>
      <w:r>
        <w:rPr>
          <w:rFonts w:ascii="PT Astra Serif" w:hAnsi="PT Astra Serif"/>
          <w:b w:val="0"/>
          <w:color w:val="000000"/>
          <w:sz w:val="27"/>
        </w:rPr>
        <w:t xml:space="preserve">подготовленного главным распорядителем средств бюджета города – </w:t>
      </w:r>
      <w:r>
        <w:rPr>
          <w:rFonts w:ascii="PT Astra Serif" w:hAnsi="PT Astra Serif"/>
          <w:b w:val="0"/>
          <w:color w:val="000000"/>
          <w:sz w:val="27"/>
        </w:rPr>
        <w:t>УТиКХ</w:t>
      </w:r>
      <w:r>
        <w:br/>
      </w:r>
      <w:r>
        <w:rPr>
          <w:rFonts w:ascii="PT Astra Serif" w:hAnsi="PT Astra Serif"/>
          <w:b w:val="0"/>
          <w:color w:val="000000"/>
          <w:sz w:val="27"/>
        </w:rPr>
        <w:t>на основании обращения муниципального заказчика МКУ «УКС», которым определяется в том числе источник финансового обеспечения расходов, связанных с завершением строительства, реконструкции объекта капитального строительства.</w:t>
      </w:r>
    </w:p>
    <w:sectPr>
      <w:headerReference r:id="rId2" w:type="default"/>
      <w:footerReference r:id="rId1" w:type="first"/>
      <w:type w:val="nextPage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Вр-2328583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Вр-2328583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Balloon Text"/>
    <w:basedOn w:val="Style_3"/>
    <w:link w:val="Style_6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3_ch"/>
    <w:link w:val="Style_6"/>
    <w:rPr>
      <w:rFonts w:ascii="Tahoma" w:hAnsi="Tahoma"/>
      <w:sz w:val="16"/>
    </w:rPr>
  </w:style>
  <w:style w:styleId="Style_7" w:type="paragraph">
    <w:name w:val="toc 6"/>
    <w:next w:val="Style_3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head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1" w:type="paragraph">
    <w:name w:val="toc 3"/>
    <w:next w:val="Style_3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5"/>
    <w:next w:val="Style_3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22" w:type="paragraph">
    <w:name w:val="Subtitle"/>
    <w:next w:val="Style_3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6"/>
    <w:pPr>
      <w:widowControl w:val="0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footer1.xml" Type="http://schemas.openxmlformats.org/officeDocument/2006/relationships/foot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2026-02-17T05:32:02Z</dcterms:created>
  <dcterms:modified xsi:type="dcterms:W3CDTF">2026-02-18T04:46:46Z</dcterms:modified>
</cp:coreProperties>
</file>