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121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5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 города Магнитогорска от 12.07.2013 № 9385-П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от 22.11.1995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</w:t>
      </w:r>
      <w:r>
        <w:rPr>
          <w:rFonts w:ascii="Times New Roman" w:hAnsi="Times New Roman"/>
          <w:sz w:val="28"/>
        </w:rPr>
        <w:t xml:space="preserve">я) алкогольной продукции»,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23.12.2020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2220 «Об утверждении Правил определения органами местного самоуправления границ прилегающих территорий, на которых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допускается розничная продажа алкогольной п</w:t>
      </w:r>
      <w:r>
        <w:rPr>
          <w:rFonts w:ascii="Times New Roman" w:hAnsi="Times New Roman"/>
          <w:sz w:val="28"/>
        </w:rPr>
        <w:t>родукции и розничная продажа алкогольной продукции при оказании услуг общественного питания», Положением о создании условий для обеспечения жителей города Магнитогорска услугами связи, общественного питания, торговли</w:t>
      </w:r>
      <w:r>
        <w:br/>
      </w:r>
      <w:r>
        <w:rPr>
          <w:rFonts w:ascii="Times New Roman" w:hAnsi="Times New Roman"/>
          <w:sz w:val="28"/>
        </w:rPr>
        <w:t>и бытового обслуживания, утвержденным Р</w:t>
      </w:r>
      <w:r>
        <w:rPr>
          <w:rFonts w:ascii="Times New Roman" w:hAnsi="Times New Roman"/>
          <w:sz w:val="28"/>
        </w:rPr>
        <w:t xml:space="preserve">ешением Магнитогорского городского Собрания депутатов от 24 апреля 2012 года № 59, руководствуясь Уставом города Магнитогорска, 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12.07.2013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9385-П «Об определении границ приле</w:t>
      </w:r>
      <w:r>
        <w:rPr>
          <w:rFonts w:ascii="Times New Roman" w:hAnsi="Times New Roman"/>
          <w:sz w:val="28"/>
        </w:rPr>
        <w:t xml:space="preserve">гающих к некоторым организациям и объектам территорий, на которых не допускается розничная продажа алкогольной продукции» (далее – постановление) изменение,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 приложения к п</w:t>
      </w:r>
      <w:r>
        <w:rPr>
          <w:rStyle w:val="Style_3_ch"/>
          <w:rFonts w:ascii="Times New Roman" w:hAnsi="Times New Roman"/>
          <w:sz w:val="28"/>
        </w:rPr>
        <w:t>остановлению исключить Схему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212-2013 (вход 3) «Границы территории, прилегающей</w:t>
      </w:r>
      <w:r>
        <w:rPr>
          <w:rStyle w:val="Style_3_ch"/>
          <w:rFonts w:ascii="Times New Roman" w:hAnsi="Times New Roman"/>
          <w:sz w:val="28"/>
        </w:rPr>
        <w:t xml:space="preserve"> к муниципальному дошкольному образовательному учреждению «Центр развития ребенка – детский сад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81» города Магнитогорска, расположенному по адресу: ул.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Гагарина, дом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29, на которой не допускается розничная продажа алкогольной продукции»</w:t>
      </w:r>
      <w:r>
        <w:rPr>
          <w:rStyle w:val="Style_3_ch"/>
          <w:rFonts w:ascii="Times New Roman" w:hAnsi="Times New Roman"/>
          <w:sz w:val="28"/>
        </w:rPr>
        <w:t>.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</w:t>
      </w:r>
      <w:r>
        <w:rPr>
          <w:rFonts w:ascii="Times New Roman" w:hAnsi="Times New Roman"/>
          <w:sz w:val="28"/>
        </w:rPr>
        <w:t>ановление вступает в силу после его официального опубликования.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опубликовать настоящее постановление в средствах массовой информации;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разместить наст</w:t>
      </w:r>
      <w:r>
        <w:rPr>
          <w:rFonts w:ascii="Times New Roman" w:hAnsi="Times New Roman"/>
          <w:sz w:val="28"/>
        </w:rPr>
        <w:t>оящее постановление на официальном сайте администрации города Магнитогорска.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– руководителя аппарата администрации города Магнитогорска Москалева М.В.</w:t>
      </w:r>
      <w:bookmarkStart w:id="1" w:name="_GoBack"/>
      <w:bookmarkEnd w:id="1"/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                                                         С.Н. Бердников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Вр-2286498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4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8"/>
    <w:next w:val="Style_4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2026-01-16T05:10:19Z</dcterms:modified>
</cp:coreProperties>
</file>