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ind/>
        <w:jc w:val="center"/>
      </w:pPr>
      <w:r>
        <w:t>ТЕКСТОВАЯ ЧАСТЬ ПРОЕКТА МЕЖЕВАНИЯ ТЕРРИТОРИИ</w:t>
      </w:r>
    </w:p>
    <w:p w14:paraId="0C000000">
      <w:pPr>
        <w:widowControl w:val="0"/>
        <w:tabs>
          <w:tab w:leader="none" w:pos="709" w:val="left"/>
        </w:tabs>
        <w:ind w:firstLine="709" w:left="0"/>
        <w:jc w:val="both"/>
        <w:rPr>
          <w:b w:val="1"/>
          <w:spacing w:val="2"/>
        </w:rPr>
      </w:pPr>
      <w:r>
        <w:rPr>
          <w:b w:val="1"/>
          <w:spacing w:val="2"/>
        </w:rPr>
        <w:t>1.</w:t>
      </w:r>
      <w:r>
        <w:rPr>
          <w:b w:val="1"/>
          <w:spacing w:val="2"/>
        </w:rPr>
        <w:tab/>
      </w:r>
      <w:r>
        <w:rPr>
          <w:b w:val="1"/>
          <w:spacing w:val="2"/>
        </w:rPr>
        <w:t>Основные положения проекта межевания территории</w:t>
      </w:r>
    </w:p>
    <w:p w14:paraId="0D000000">
      <w:pPr>
        <w:widowControl w:val="0"/>
        <w:ind w:firstLine="709" w:left="0"/>
        <w:jc w:val="both"/>
      </w:pPr>
      <w:r>
        <w:t xml:space="preserve">Проект межевания </w:t>
      </w:r>
      <w:r>
        <w:t>располагается в Правобережном районе г. Магнитогорска</w:t>
      </w:r>
    </w:p>
    <w:p w14:paraId="0E000000">
      <w:pPr>
        <w:widowControl w:val="0"/>
        <w:ind w:firstLine="709" w:left="0"/>
        <w:jc w:val="both"/>
      </w:pPr>
      <w:r>
        <w:t>Территория проектирования 2,6153 га располагается в зоне ПК-3 «</w:t>
      </w:r>
      <w:r>
        <w:t>Зона производственно-коммунальных объектов III класса».</w:t>
      </w:r>
    </w:p>
    <w:p w14:paraId="0F000000">
      <w:pPr>
        <w:widowControl w:val="0"/>
        <w:ind w:firstLine="709" w:left="0"/>
        <w:jc w:val="both"/>
        <w:rPr>
          <w:color w:val="000000"/>
        </w:rPr>
      </w:pPr>
      <w:r>
        <w:t xml:space="preserve">На данной территории проектирования также располагаются объекты: стоянки транспортных средств, </w:t>
      </w:r>
      <w:r>
        <w:rPr>
          <w:color w:val="000000"/>
        </w:rPr>
        <w:t>станции технического обслуживания автомобилей, автозаправочная станция, административное здание.</w:t>
      </w:r>
    </w:p>
    <w:p w14:paraId="10000000">
      <w:pPr>
        <w:widowControl w:val="0"/>
        <w:tabs>
          <w:tab w:leader="none" w:pos="709" w:val="left"/>
        </w:tabs>
        <w:ind w:firstLine="709" w:left="0"/>
        <w:jc w:val="both"/>
        <w:rPr>
          <w:b w:val="1"/>
        </w:rPr>
      </w:pPr>
      <w:r>
        <w:rPr>
          <w:b w:val="1"/>
        </w:rPr>
        <w:t>Таблица 1.1 – Координаты поворотных точек границ проектирования.</w:t>
      </w:r>
    </w:p>
    <w:tbl>
      <w:tblPr>
        <w:tblStyle w:val="Style_3"/>
        <w:tblW w:type="auto" w:w="0"/>
        <w:tblInd w:type="dxa" w:w="14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644"/>
        <w:gridCol w:w="3356"/>
        <w:gridCol w:w="2986"/>
      </w:tblGrid>
      <w:tr>
        <w:trPr>
          <w:trHeight w:hRule="atLeast" w:val="873"/>
        </w:trPr>
        <w:tc>
          <w:tcPr>
            <w:tcW w:type="dxa" w:w="1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№ поворотной точки</w:t>
            </w:r>
          </w:p>
        </w:tc>
        <w:tc>
          <w:tcPr>
            <w:tcW w:type="dxa" w:w="3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Координата Х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Координата </w:t>
            </w:r>
            <w:r>
              <w:rPr>
                <w:sz w:val="20"/>
              </w:rPr>
              <w:t>Y</w:t>
            </w:r>
          </w:p>
        </w:tc>
      </w:tr>
      <w:tr>
        <w:trPr>
          <w:trHeight w:hRule="atLeast" w:val="287"/>
        </w:trPr>
        <w:tc>
          <w:tcPr>
            <w:tcW w:type="dxa" w:w="1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411491,21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1361077,56</w:t>
            </w:r>
          </w:p>
        </w:tc>
      </w:tr>
      <w:tr>
        <w:trPr>
          <w:trHeight w:hRule="atLeast" w:val="298"/>
        </w:trPr>
        <w:tc>
          <w:tcPr>
            <w:tcW w:type="dxa" w:w="1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411496,01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1361442,25</w:t>
            </w:r>
          </w:p>
        </w:tc>
      </w:tr>
      <w:tr>
        <w:trPr>
          <w:trHeight w:hRule="atLeast" w:val="287"/>
        </w:trPr>
        <w:tc>
          <w:tcPr>
            <w:tcW w:type="dxa" w:w="1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411567,55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1361440,62</w:t>
            </w:r>
          </w:p>
        </w:tc>
      </w:tr>
      <w:tr>
        <w:trPr>
          <w:trHeight w:hRule="atLeast" w:val="287"/>
        </w:trPr>
        <w:tc>
          <w:tcPr>
            <w:tcW w:type="dxa" w:w="1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3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411563,58</w:t>
            </w:r>
          </w:p>
        </w:tc>
        <w:tc>
          <w:tcPr>
            <w:tcW w:type="dxa" w:w="29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1361077,80</w:t>
            </w:r>
          </w:p>
        </w:tc>
      </w:tr>
    </w:tbl>
    <w:p w14:paraId="20000000">
      <w:pPr>
        <w:widowControl w:val="0"/>
        <w:tabs>
          <w:tab w:leader="none" w:pos="0" w:val="left"/>
        </w:tabs>
        <w:ind w:firstLine="709" w:left="0"/>
        <w:jc w:val="both"/>
      </w:pPr>
      <w:r>
        <w:t xml:space="preserve">Проектируемая территория находится в территориальной зоне </w:t>
      </w:r>
      <w:r>
        <w:t>(ПК-3) «</w:t>
      </w:r>
      <w:r>
        <w:t>Зона производственно-коммунальных объектов III класса</w:t>
      </w:r>
      <w:r>
        <w:t>».</w:t>
      </w:r>
    </w:p>
    <w:p w14:paraId="21000000">
      <w:pPr>
        <w:widowControl w:val="0"/>
        <w:tabs>
          <w:tab w:leader="none" w:pos="0" w:val="left"/>
          <w:tab w:leader="none" w:pos="851" w:val="left"/>
        </w:tabs>
        <w:ind w:firstLine="709" w:left="0"/>
        <w:jc w:val="both"/>
      </w:pPr>
      <w:r>
        <w:t>- максимальный процент застройки в границах земельного участка – 60%;</w:t>
      </w:r>
    </w:p>
    <w:p w14:paraId="22000000">
      <w:pPr>
        <w:widowControl w:val="0"/>
        <w:tabs>
          <w:tab w:leader="none" w:pos="0" w:val="left"/>
          <w:tab w:leader="none" w:pos="851" w:val="left"/>
        </w:tabs>
        <w:ind w:firstLine="709" w:left="0"/>
        <w:jc w:val="both"/>
      </w:pPr>
      <w:r>
        <w:t>- коэффициент плотности застройки – 1,8;</w:t>
      </w:r>
    </w:p>
    <w:p w14:paraId="23000000">
      <w:pPr>
        <w:widowControl w:val="0"/>
        <w:tabs>
          <w:tab w:leader="none" w:pos="0" w:val="left"/>
          <w:tab w:leader="none" w:pos="851" w:val="left"/>
        </w:tabs>
        <w:ind w:firstLine="709" w:left="0"/>
        <w:jc w:val="both"/>
      </w:pPr>
      <w:r>
        <w:t>- озеленение территории - не менее 10% от площади земельного участка.</w:t>
      </w:r>
    </w:p>
    <w:p w14:paraId="24000000">
      <w:pPr>
        <w:widowControl w:val="0"/>
        <w:tabs>
          <w:tab w:leader="none" w:pos="851" w:val="left"/>
        </w:tabs>
        <w:ind w:firstLine="709" w:left="0"/>
        <w:jc w:val="both"/>
        <w:rPr>
          <w:b w:val="1"/>
        </w:rPr>
      </w:pPr>
      <w:r>
        <w:rPr>
          <w:b w:val="1"/>
        </w:rPr>
        <w:t>Категория земель – земли населенных пунктов.</w:t>
      </w:r>
    </w:p>
    <w:p w14:paraId="25000000">
      <w:pPr>
        <w:widowControl w:val="0"/>
        <w:tabs>
          <w:tab w:leader="none" w:pos="426" w:val="left"/>
          <w:tab w:leader="none" w:pos="851" w:val="left"/>
        </w:tabs>
        <w:ind w:firstLine="709" w:left="0"/>
        <w:jc w:val="both"/>
      </w:pPr>
      <w:r>
        <w:t>Проект межевания территории разработан с целью определения местоположения границ, образуемых земельных участков. Образование земельных участков в данном проекте межевания территории происходит путем перераспределения земельных участков.</w:t>
      </w:r>
    </w:p>
    <w:p w14:paraId="26000000">
      <w:pPr>
        <w:widowControl w:val="0"/>
        <w:ind w:firstLine="709" w:left="0"/>
        <w:jc w:val="both"/>
        <w:rPr>
          <w:highlight w:val="white"/>
        </w:rPr>
      </w:pPr>
      <w:r>
        <w:t xml:space="preserve">Образование земельного участка ЗУ 1 производится из-за невозможности сформировать отдельный </w:t>
      </w:r>
      <w:r>
        <w:rPr>
          <w:highlight w:val="white"/>
        </w:rPr>
        <w:t>самостоятельный земельный участок:</w:t>
      </w:r>
      <w:r>
        <w:rPr>
          <w:highlight w:val="white"/>
        </w:rPr>
        <w:br/>
      </w:r>
      <w:r>
        <w:rPr>
          <w:highlight w:val="white"/>
        </w:rPr>
        <w:t>- из-за перепада высот на данном участке;</w:t>
      </w:r>
    </w:p>
    <w:p w14:paraId="27000000">
      <w:pPr>
        <w:widowControl w:val="0"/>
        <w:ind w:firstLine="709" w:left="0"/>
        <w:jc w:val="both"/>
      </w:pPr>
      <w:r>
        <w:t>-</w:t>
      </w:r>
      <w:r>
        <w:rPr>
          <w:highlight w:val="white"/>
        </w:rPr>
        <w:t xml:space="preserve"> отсутствия доступа на исходный земельный участок </w:t>
      </w:r>
      <w:r>
        <w:t>74:33:0205001:117 при организации нового земельного участка</w:t>
      </w:r>
      <w:r>
        <w:rPr>
          <w:highlight w:val="white"/>
        </w:rPr>
        <w:t xml:space="preserve"> с северной стороны;</w:t>
      </w:r>
    </w:p>
    <w:p w14:paraId="28000000">
      <w:pPr>
        <w:widowControl w:val="0"/>
        <w:ind w:firstLine="709" w:left="0"/>
        <w:jc w:val="both"/>
      </w:pPr>
      <w:r>
        <w:t>-</w:t>
      </w:r>
      <w:r>
        <w:rPr>
          <w:highlight w:val="white"/>
        </w:rPr>
        <w:t xml:space="preserve"> невозможности разместить объект капитального строительства с учетом нормативных отступов от границ существующего земельного участка </w:t>
      </w:r>
      <w:r>
        <w:t>74:33:0205001:117.</w:t>
      </w:r>
    </w:p>
    <w:p w14:paraId="29000000">
      <w:pPr>
        <w:widowControl w:val="0"/>
        <w:ind w:firstLine="709" w:left="0"/>
        <w:jc w:val="both"/>
      </w:pPr>
      <w:r>
        <w:t xml:space="preserve">Реконструкция объекта незавершенного строительства (№4 на плане): под </w:t>
      </w:r>
      <w:r>
        <w:t>Станцию технического обслуживания, м</w:t>
      </w:r>
      <w:r>
        <w:t xml:space="preserve">агазин на земельном участке с кадастровым номером 74:33:0205001:117 предполагает соблюдение нормативных отступов от границ земельного участка и включает в себя </w:t>
      </w:r>
      <w:r>
        <w:t xml:space="preserve">существующий въезд в цокольный этаж недостроенного здания, который является его неотъемлемой частью. Существующий въезд организован с учетом перепадов высот на территории. Для соблюдения нормативных показателей размещения объекта выполняется проект межевания территории, </w:t>
      </w:r>
      <w:r>
        <w:t xml:space="preserve">в котором производится перераспределение исходного земельного участка для удобной эксплуатации здания с учетом доступа с земель общего пользования и существующего рельефа. </w:t>
      </w:r>
    </w:p>
    <w:p w14:paraId="2A000000">
      <w:pPr>
        <w:widowControl w:val="0"/>
        <w:ind w:firstLine="709" w:left="0"/>
        <w:jc w:val="both"/>
        <w:rPr>
          <w:highlight w:val="white"/>
        </w:rPr>
      </w:pPr>
      <w:r>
        <w:t xml:space="preserve">Образование путем перераспределения земельных участков предусмотрено в соответствии со Статьей 39.28. "Земельного кодекса Российской Федерации" от 25.10.2001 N 136-ФЗ (ред. от 04.08.2023) </w:t>
      </w:r>
      <w:r>
        <w:rPr>
          <w:highlight w:val="white"/>
        </w:rPr>
        <w:t>в целях исключения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участков.</w:t>
      </w:r>
    </w:p>
    <w:p w14:paraId="2B000000">
      <w:pPr>
        <w:widowControl w:val="0"/>
        <w:tabs>
          <w:tab w:leader="none" w:pos="851" w:val="left"/>
        </w:tabs>
        <w:ind w:firstLine="709" w:left="0"/>
        <w:jc w:val="both"/>
      </w:pPr>
      <w:r>
        <w:t>Проектом межевания территории предусмотрено образование земельных участков (ЗУ1, ЗУ2)</w:t>
      </w:r>
    </w:p>
    <w:p w14:paraId="2C000000">
      <w:pPr>
        <w:pStyle w:val="Style_4"/>
        <w:widowControl w:val="0"/>
        <w:tabs>
          <w:tab w:leader="none" w:pos="851" w:val="left"/>
        </w:tabs>
        <w:ind w:firstLine="709" w:left="0"/>
        <w:contextualSpacing w:val="0"/>
        <w:jc w:val="both"/>
        <w:rPr>
          <w:b w:val="1"/>
        </w:rPr>
      </w:pPr>
      <w:r>
        <w:rPr>
          <w:b w:val="1"/>
        </w:rPr>
        <w:t>Таблица 1.2 – Таблица образуемых и изменяемых земельных участков</w:t>
      </w:r>
    </w:p>
    <w:p w14:paraId="2D000000">
      <w:pPr>
        <w:pStyle w:val="Style_4"/>
        <w:widowControl w:val="0"/>
        <w:tabs>
          <w:tab w:leader="none" w:pos="851" w:val="left"/>
        </w:tabs>
        <w:ind w:firstLine="0" w:left="0"/>
        <w:contextualSpacing w:val="0"/>
        <w:jc w:val="both"/>
      </w:pPr>
      <w:r>
        <w:drawing>
          <wp:inline>
            <wp:extent cx="6043422" cy="1702943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6043422" cy="1702943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2E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Примечание:</w:t>
      </w:r>
    </w:p>
    <w:p w14:paraId="2F000000">
      <w:pPr>
        <w:widowControl w:val="0"/>
        <w:tabs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1 - Производится смена вида разрешенного использования земельного участка.</w:t>
      </w:r>
    </w:p>
    <w:p w14:paraId="30000000">
      <w:pPr>
        <w:widowControl w:val="0"/>
        <w:ind w:firstLine="709" w:left="0"/>
        <w:jc w:val="both"/>
      </w:pPr>
      <w:r>
        <w:rPr>
          <w:color w:val="000000"/>
        </w:rPr>
        <w:t xml:space="preserve">** - </w:t>
      </w:r>
      <w:r>
        <w:t>Условно разрешенный вид использования земельного участка и объекта капитального   строительства. Для предоставления разрешения на условно разрешенный вид использования земельного участка или объекта капитального строительства, необходимо пройти процедуру общественных обсуждений. ("Градостроительный кодекс Российской Федерации" от 29.12.2004, ст.39).</w:t>
      </w:r>
    </w:p>
    <w:p w14:paraId="31000000">
      <w:pPr>
        <w:pStyle w:val="Style_4"/>
        <w:widowControl w:val="0"/>
        <w:ind w:firstLine="709" w:left="0"/>
        <w:contextualSpacing w:val="0"/>
        <w:jc w:val="both"/>
        <w:rPr>
          <w:b w:val="1"/>
          <w:color w:val="000000"/>
        </w:rPr>
      </w:pPr>
      <w:r>
        <w:rPr>
          <w:b w:val="1"/>
          <w:color w:val="000000"/>
        </w:rPr>
        <w:t xml:space="preserve">2. Вид разрешенного использования образуемых земельных участков </w:t>
      </w:r>
      <w:r>
        <w:rPr>
          <w:b w:val="1"/>
          <w:color w:val="000000"/>
        </w:rPr>
        <w:t>в соответствии с прав</w:t>
      </w:r>
      <w:r>
        <w:rPr>
          <w:b w:val="1"/>
          <w:color w:val="000000"/>
        </w:rPr>
        <w:t>илами землепользования и застройки</w:t>
      </w:r>
    </w:p>
    <w:p w14:paraId="32000000">
      <w:pPr>
        <w:pStyle w:val="Style_5"/>
        <w:widowControl w:val="0"/>
        <w:numPr>
          <w:ilvl w:val="0"/>
          <w:numId w:val="0"/>
        </w:numPr>
        <w:ind w:firstLine="709" w:left="0"/>
        <w:rPr>
          <w:b w:val="1"/>
          <w:color w:val="000000"/>
        </w:rPr>
      </w:pPr>
      <w:r>
        <w:rPr>
          <w:b w:val="1"/>
          <w:color w:val="000000"/>
        </w:rPr>
        <w:t>Таблица 2.1</w:t>
      </w:r>
      <w:r>
        <w:t xml:space="preserve"> </w:t>
      </w:r>
      <w:r>
        <w:rPr>
          <w:b w:val="1"/>
          <w:color w:val="000000"/>
        </w:rPr>
        <w:t>Перечень видов разрешенного использования образуемых земельных участков</w:t>
      </w: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972"/>
        <w:gridCol w:w="6804"/>
      </w:tblGrid>
      <w:tr>
        <w:trPr>
          <w:trHeight w:hRule="atLeast" w:val="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widowControl w:val="0"/>
              <w:ind w:firstLine="709" w:left="0"/>
              <w:jc w:val="both"/>
              <w:rPr>
                <w:b w:val="1"/>
                <w:color w:val="000000"/>
                <w:sz w:val="20"/>
              </w:rPr>
            </w:pPr>
            <w:bookmarkStart w:id="1" w:name="_Hlk56581859"/>
            <w:r>
              <w:rPr>
                <w:b w:val="1"/>
                <w:color w:val="000000"/>
                <w:sz w:val="20"/>
              </w:rPr>
              <w:t>Условный номер земельного участка</w:t>
            </w:r>
          </w:p>
        </w:tc>
        <w:tc>
          <w:tcPr>
            <w:tcW w:type="dxa" w:w="6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0"/>
              <w:ind w:firstLine="709" w:left="0"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Вид разрешенного использования земельных участков</w:t>
            </w:r>
          </w:p>
        </w:tc>
      </w:tr>
      <w:tr>
        <w:trPr>
          <w:trHeight w:hRule="atLeast" w:val="233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bookmarkStart w:id="2" w:name="_Hlk8949254"/>
            <w:bookmarkStart w:id="3" w:name="_Hlk56581588"/>
            <w:r>
              <w:rPr>
                <w:color w:val="000000"/>
                <w:sz w:val="20"/>
              </w:rPr>
              <w:t>ЗУ-1</w:t>
            </w:r>
            <w:bookmarkEnd w:id="3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type="dxa" w:w="6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Ремонт </w:t>
            </w:r>
            <w:r>
              <w:rPr>
                <w:color w:val="000000"/>
                <w:sz w:val="20"/>
              </w:rPr>
              <w:t>автомобилей /</w:t>
            </w:r>
            <w:r>
              <w:rPr>
                <w:color w:val="000000"/>
                <w:sz w:val="20"/>
              </w:rPr>
              <w:t xml:space="preserve"> 4.9.1.4</w:t>
            </w:r>
          </w:p>
          <w:p w14:paraId="37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Магазин **</w:t>
            </w:r>
            <w:r>
              <w:rPr>
                <w:color w:val="000000"/>
                <w:sz w:val="20"/>
              </w:rPr>
              <w:t xml:space="preserve">/ </w:t>
            </w:r>
            <w:r>
              <w:rPr>
                <w:color w:val="000000"/>
                <w:sz w:val="20"/>
              </w:rPr>
              <w:t>4.4</w:t>
            </w:r>
          </w:p>
        </w:tc>
      </w:tr>
      <w:tr>
        <w:trPr>
          <w:trHeight w:hRule="atLeast" w:val="233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ЗУ-2</w:t>
            </w:r>
          </w:p>
        </w:tc>
        <w:tc>
          <w:tcPr>
            <w:tcW w:type="dxa" w:w="6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widowControl w:val="0"/>
              <w:ind w:firstLine="709" w:left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Стоянка транспортных средств </w:t>
            </w:r>
            <w:r>
              <w:rPr>
                <w:sz w:val="20"/>
              </w:rPr>
              <w:t>/ 4.9.2</w:t>
            </w:r>
            <w:bookmarkEnd w:id="2"/>
          </w:p>
        </w:tc>
      </w:tr>
    </w:tbl>
    <w:p w14:paraId="3A000000">
      <w:pPr>
        <w:widowControl w:val="0"/>
        <w:ind w:firstLine="709" w:left="0"/>
        <w:jc w:val="both"/>
      </w:pPr>
      <w:r>
        <w:t>** Предоставление разрешения на условно разрешённый вид использования земельного участка или объекта капитального строительства осуществляется в порядке, предусмотренном статьей 7. «Порядок предоставления разрешения на условно разрешённый вид использования земельного участка или объекта капитального строительства» правил землепользования и застройки города Магнитогорска.</w:t>
      </w:r>
    </w:p>
    <w:p w14:paraId="3B000000">
      <w:pPr>
        <w:pStyle w:val="Style_6"/>
        <w:widowControl w:val="0"/>
        <w:spacing w:after="0"/>
        <w:ind w:firstLine="709" w:left="0"/>
        <w:jc w:val="both"/>
        <w:rPr>
          <w:b w:val="1"/>
        </w:rPr>
      </w:pPr>
      <w:bookmarkEnd w:id="1"/>
      <w:r>
        <w:rPr>
          <w:b w:val="1"/>
        </w:rPr>
        <w:t>3. Перечень сервитутов</w:t>
      </w:r>
    </w:p>
    <w:p w14:paraId="3C000000">
      <w:pPr>
        <w:widowControl w:val="0"/>
        <w:ind w:firstLine="709" w:left="0"/>
        <w:jc w:val="both"/>
        <w:rPr>
          <w:b w:val="1"/>
          <w:color w:val="000000"/>
        </w:rPr>
      </w:pPr>
      <w:r>
        <w:rPr>
          <w:i w:val="1"/>
          <w:color w:val="000000"/>
        </w:rPr>
        <w:t>Предложения по установлению сервитутов</w:t>
      </w:r>
    </w:p>
    <w:p w14:paraId="3D00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Согласно п. 2 ст. 23 ЗК РФ: публичный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</w:t>
      </w:r>
    </w:p>
    <w:p w14:paraId="3E00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>Сервитут – это право ограниченного пользования чужим земельным участком.</w:t>
      </w:r>
    </w:p>
    <w:p w14:paraId="3F00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>Согласно исходным данным существующих границ зон действия публичных сервитутов на проектируемой территории нет.</w:t>
      </w:r>
    </w:p>
    <w:p w14:paraId="4000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41000000">
      <w:pPr>
        <w:pStyle w:val="Style_6"/>
        <w:widowControl w:val="0"/>
        <w:spacing w:after="0"/>
        <w:ind w:firstLine="709" w:left="0"/>
        <w:jc w:val="both"/>
        <w:rPr>
          <w:color w:val="000000"/>
        </w:rPr>
      </w:pPr>
      <w:r>
        <w:rPr>
          <w:color w:val="000000"/>
        </w:rPr>
        <w:t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территории) посредством границ зон действия планируемого сервитута вне границ проектирования проектом не предусматривается.</w:t>
      </w:r>
    </w:p>
    <w:p w14:paraId="42000000">
      <w:pPr>
        <w:widowControl w:val="0"/>
        <w:tabs>
          <w:tab w:leader="none" w:pos="851" w:val="left"/>
        </w:tabs>
        <w:ind w:firstLine="709" w:left="0"/>
        <w:jc w:val="both"/>
      </w:pPr>
      <w:r>
        <w:t>Проектом межевания территории устанавливаются зоны действия сервитутов в целях ремонта коммунальных, инженерных и других сетей:</w:t>
      </w:r>
    </w:p>
    <w:p w14:paraId="43000000">
      <w:pPr>
        <w:widowControl w:val="0"/>
        <w:ind w:firstLine="709" w:left="0"/>
        <w:jc w:val="both"/>
        <w:rPr>
          <w:spacing w:val="2"/>
        </w:rPr>
      </w:pPr>
      <w:r>
        <w:t>- для газопровода - 2м</w:t>
      </w:r>
      <w:r>
        <w:rPr>
          <w:spacing w:val="2"/>
        </w:rPr>
        <w:t xml:space="preserve"> в каждую сторону от оси газопровода (согласно «Правилам охраны газораспределительных сетей»);</w:t>
      </w:r>
    </w:p>
    <w:p w14:paraId="44000000">
      <w:pPr>
        <w:widowControl w:val="0"/>
        <w:ind w:firstLine="709" w:left="0"/>
        <w:jc w:val="both"/>
        <w:rPr>
          <w:spacing w:val="2"/>
        </w:rPr>
      </w:pPr>
      <w:r>
        <w:t xml:space="preserve">- от оси кабельной линии – 1 м в каждую сторону </w:t>
      </w:r>
      <w:r>
        <w:rPr>
          <w:spacing w:val="2"/>
        </w:rPr>
        <w:t>(согласно Постановлению Правительства от 24 февраля 2009 года, N 160 «О порядке установления охранных зон объектов электросетевого хозяйства и особых условий использования земельных участков, расположенных в границах таких зон»);</w:t>
      </w:r>
    </w:p>
    <w:p w14:paraId="45000000">
      <w:pPr>
        <w:widowControl w:val="0"/>
        <w:ind w:firstLine="709" w:left="0"/>
        <w:jc w:val="both"/>
        <w:rPr>
          <w:spacing w:val="2"/>
        </w:rPr>
      </w:pPr>
      <w:r>
        <w:t xml:space="preserve">- для водопровода – 5 м до фундаментов зданий и сооружений </w:t>
      </w:r>
      <w:r>
        <w:rPr>
          <w:spacing w:val="2"/>
        </w:rPr>
        <w:t>(согласно СП 42.13330.2011);</w:t>
      </w:r>
    </w:p>
    <w:p w14:paraId="46000000">
      <w:pPr>
        <w:widowControl w:val="0"/>
        <w:ind w:firstLine="709" w:left="0"/>
        <w:jc w:val="both"/>
        <w:rPr>
          <w:spacing w:val="2"/>
        </w:rPr>
      </w:pPr>
      <w:r>
        <w:t xml:space="preserve">- для канализации – 3 м до фундаментов зданий и сооружений </w:t>
      </w:r>
      <w:r>
        <w:rPr>
          <w:spacing w:val="2"/>
        </w:rPr>
        <w:t>(согласно СП 42.13330.2011);</w:t>
      </w:r>
    </w:p>
    <w:p w14:paraId="47000000">
      <w:pPr>
        <w:widowControl w:val="0"/>
        <w:tabs>
          <w:tab w:leader="none" w:pos="851" w:val="left"/>
        </w:tabs>
        <w:ind w:firstLine="709" w:left="0"/>
        <w:jc w:val="both"/>
      </w:pPr>
      <w:r>
        <w:t>- для воздушных линий электропередачи (ВЛ) по обе стороны от проекции на землю от крайних проводов:</w:t>
      </w:r>
    </w:p>
    <w:p w14:paraId="48000000">
      <w:pPr>
        <w:widowControl w:val="0"/>
        <w:tabs>
          <w:tab w:leader="none" w:pos="851" w:val="left"/>
        </w:tabs>
        <w:ind w:firstLine="709" w:left="0"/>
        <w:jc w:val="both"/>
      </w:pPr>
      <w:r>
        <w:t xml:space="preserve">     - 2 м для ВЛ 0,4 кВ </w:t>
      </w:r>
    </w:p>
    <w:p w14:paraId="49000000">
      <w:pPr>
        <w:widowControl w:val="0"/>
        <w:tabs>
          <w:tab w:leader="none" w:pos="851" w:val="left"/>
        </w:tabs>
        <w:ind w:firstLine="709" w:left="0"/>
        <w:jc w:val="both"/>
        <w:rPr>
          <w:spacing w:val="2"/>
        </w:rPr>
      </w:pPr>
      <w:r>
        <w:t xml:space="preserve">- 10м для ВЛ 10кВ </w:t>
      </w:r>
      <w:r>
        <w:rPr>
          <w:spacing w:val="2"/>
        </w:rPr>
        <w:t>(согласно Постановлению Правительства от 24 февраля 2009 года, N 160 «О порядке установления охранных зон объектов электросетевого хозяйства и особых условий использования земельных участков, расположенных в границах таких зон»).</w:t>
      </w:r>
    </w:p>
    <w:p w14:paraId="4A000000">
      <w:pPr>
        <w:widowControl w:val="0"/>
        <w:ind w:firstLine="709" w:left="0"/>
        <w:jc w:val="both"/>
      </w:pPr>
    </w:p>
    <w:sectPr>
      <w:headerReference r:id="rId1" w:type="default"/>
      <w:headerReference r:id="rId3" w:type="first"/>
      <w:footerReference r:id="rId2" w:type="default"/>
      <w:type w:val="continuous"/>
      <w:pgSz w:h="16838" w:orient="portrait" w:w="11906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rPr>
        <w:sz w:val="24"/>
      </w:rPr>
      <w:t>10.12.2025 № 10530-П</w:t>
    </w:r>
  </w:p>
  <w:p w14:paraId="07000000">
    <w:pPr>
      <w:pStyle w:val="Style_1"/>
      <w:widowControl w:val="0"/>
      <w:ind/>
      <w:jc w:val="right"/>
    </w:pPr>
  </w:p>
  <w:p w14:paraId="08000000">
    <w:pPr>
      <w:pStyle w:val="Style_1"/>
      <w:widowControl w:val="0"/>
      <w:ind/>
      <w:jc w:val="right"/>
    </w:pPr>
  </w:p>
  <w:p w14:paraId="09000000">
    <w:pPr>
      <w:pStyle w:val="Style_1"/>
      <w:widowControl w:val="0"/>
      <w:ind/>
    </w:pPr>
  </w:p>
  <w:p w14:paraId="0A000000">
    <w:pPr>
      <w:pStyle w:val="Style_1"/>
      <w:widowControl w:val="0"/>
      <w:ind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5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  <w:sz w:val="24"/>
    </w:rPr>
  </w:style>
  <w:style w:default="1" w:styleId="Style_7_ch" w:type="character">
    <w:name w:val="Normal"/>
    <w:link w:val="Style_7"/>
    <w:rPr>
      <w:rFonts w:ascii="Times New Roman" w:hAnsi="Times New Roman"/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2" w:type="paragraph">
    <w:name w:val="footer"/>
    <w:basedOn w:val="Style_7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7_ch"/>
    <w:link w:val="Style_2"/>
    <w:rPr>
      <w:sz w:val="20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Plain Text"/>
    <w:basedOn w:val="Style_7"/>
    <w:link w:val="Style_11_ch"/>
    <w:rPr>
      <w:rFonts w:ascii="Consolas" w:hAnsi="Consolas"/>
      <w:sz w:val="21"/>
    </w:rPr>
  </w:style>
  <w:style w:styleId="Style_11_ch" w:type="character">
    <w:name w:val="Plain Text"/>
    <w:basedOn w:val="Style_7_ch"/>
    <w:link w:val="Style_11"/>
    <w:rPr>
      <w:rFonts w:ascii="Consolas" w:hAnsi="Consolas"/>
      <w:sz w:val="21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Нормальный-2"/>
    <w:basedOn w:val="Style_7"/>
    <w:link w:val="Style_13_ch"/>
    <w:pPr>
      <w:spacing w:before="120"/>
      <w:ind w:firstLine="851" w:left="284" w:right="170"/>
      <w:jc w:val="both"/>
    </w:pPr>
    <w:rPr>
      <w:sz w:val="26"/>
    </w:rPr>
  </w:style>
  <w:style w:styleId="Style_13_ch" w:type="character">
    <w:name w:val="Нормальный-2"/>
    <w:basedOn w:val="Style_7_ch"/>
    <w:link w:val="Style_13"/>
    <w:rPr>
      <w:sz w:val="26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7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Гипертекстовая ссылка"/>
    <w:link w:val="Style_16_ch"/>
    <w:rPr>
      <w:b w:val="1"/>
      <w:color w:val="008000"/>
    </w:rPr>
  </w:style>
  <w:style w:styleId="Style_16_ch" w:type="character">
    <w:name w:val="Гипертекстовая ссылка"/>
    <w:link w:val="Style_16"/>
    <w:rPr>
      <w:b w:val="1"/>
      <w:color w:val="008000"/>
    </w:rPr>
  </w:style>
  <w:style w:styleId="Style_17" w:type="paragraph">
    <w:name w:val="Текст1"/>
    <w:basedOn w:val="Style_7"/>
    <w:link w:val="Style_17_ch"/>
    <w:rPr>
      <w:rFonts w:ascii="Courier New" w:hAnsi="Courier New"/>
      <w:sz w:val="20"/>
    </w:rPr>
  </w:style>
  <w:style w:styleId="Style_17_ch" w:type="character">
    <w:name w:val="Текст1"/>
    <w:basedOn w:val="Style_7_ch"/>
    <w:link w:val="Style_17"/>
    <w:rPr>
      <w:rFonts w:ascii="Courier New" w:hAnsi="Courier New"/>
      <w:sz w:val="20"/>
    </w:rPr>
  </w:style>
  <w:style w:styleId="Style_18" w:type="paragraph">
    <w:name w:val="Balloon Text"/>
    <w:basedOn w:val="Style_7"/>
    <w:link w:val="Style_18_ch"/>
    <w:rPr>
      <w:rFonts w:ascii="Segoe UI" w:hAnsi="Segoe UI"/>
      <w:sz w:val="18"/>
    </w:rPr>
  </w:style>
  <w:style w:styleId="Style_18_ch" w:type="character">
    <w:name w:val="Balloon Text"/>
    <w:basedOn w:val="Style_7_ch"/>
    <w:link w:val="Style_18"/>
    <w:rPr>
      <w:rFonts w:ascii="Segoe UI" w:hAnsi="Segoe UI"/>
      <w:sz w:val="18"/>
    </w:rPr>
  </w:style>
  <w:style w:styleId="Style_19" w:type="paragraph">
    <w:name w:val="Normal (Web)"/>
    <w:basedOn w:val="Style_7"/>
    <w:link w:val="Style_19_ch"/>
    <w:pPr>
      <w:spacing w:after="280" w:before="280"/>
      <w:ind/>
    </w:pPr>
  </w:style>
  <w:style w:styleId="Style_19_ch" w:type="character">
    <w:name w:val="Normal (Web)"/>
    <w:basedOn w:val="Style_7_ch"/>
    <w:link w:val="Style_19"/>
  </w:style>
  <w:style w:styleId="Style_20" w:type="paragraph">
    <w:name w:val="toc 3"/>
    <w:next w:val="Style_7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page number"/>
    <w:link w:val="Style_22_ch"/>
  </w:style>
  <w:style w:styleId="Style_22_ch" w:type="character">
    <w:name w:val="page number"/>
    <w:link w:val="Style_22"/>
  </w:style>
  <w:style w:styleId="Style_23" w:type="paragraph">
    <w:name w:val="heading 5"/>
    <w:next w:val="Style_7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basedOn w:val="Style_7"/>
    <w:next w:val="Style_7"/>
    <w:link w:val="Style_2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4_ch" w:type="character">
    <w:name w:val="heading 1"/>
    <w:basedOn w:val="Style_7_ch"/>
    <w:link w:val="Style_24"/>
    <w:rPr>
      <w:rFonts w:ascii="Arial" w:hAnsi="Arial"/>
      <w:b w:val="1"/>
      <w:sz w:val="32"/>
    </w:rPr>
  </w:style>
  <w:style w:styleId="Style_4" w:type="paragraph">
    <w:name w:val="List Paragraph"/>
    <w:basedOn w:val="Style_7"/>
    <w:link w:val="Style_4_ch"/>
    <w:pPr>
      <w:ind w:firstLine="0" w:left="720"/>
      <w:contextualSpacing w:val="1"/>
    </w:pPr>
  </w:style>
  <w:style w:styleId="Style_4_ch" w:type="character">
    <w:name w:val="List Paragraph"/>
    <w:basedOn w:val="Style_7_ch"/>
    <w:link w:val="Style_4"/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7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5" w:type="paragraph">
    <w:name w:val="Список маркированный 1"/>
    <w:basedOn w:val="Style_7"/>
    <w:link w:val="Style_5_ch"/>
    <w:pPr>
      <w:numPr>
        <w:ilvl w:val="0"/>
        <w:numId w:val="1"/>
      </w:numPr>
      <w:tabs>
        <w:tab w:leader="none" w:pos="1276" w:val="left"/>
      </w:tabs>
      <w:ind/>
      <w:jc w:val="both"/>
    </w:pPr>
  </w:style>
  <w:style w:styleId="Style_5_ch" w:type="character">
    <w:name w:val="Список маркированный 1"/>
    <w:basedOn w:val="Style_7_ch"/>
    <w:link w:val="Style_5"/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next w:val="Style_7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6" w:type="paragraph">
    <w:name w:val="Body Text"/>
    <w:basedOn w:val="Style_7"/>
    <w:link w:val="Style_6_ch"/>
    <w:pPr>
      <w:spacing w:after="120"/>
      <w:ind/>
    </w:pPr>
  </w:style>
  <w:style w:styleId="Style_6_ch" w:type="character">
    <w:name w:val="Body Text"/>
    <w:basedOn w:val="Style_7_ch"/>
    <w:link w:val="Style_6"/>
  </w:style>
  <w:style w:styleId="Style_30" w:type="paragraph">
    <w:name w:val="toc 8"/>
    <w:next w:val="Style_7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1" w:type="paragraph">
    <w:name w:val="header"/>
    <w:basedOn w:val="Style_7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7_ch"/>
    <w:link w:val="Style_1"/>
    <w:rPr>
      <w:sz w:val="20"/>
    </w:rPr>
  </w:style>
  <w:style w:styleId="Style_31" w:type="paragraph">
    <w:name w:val="Default"/>
    <w:link w:val="Style_31_ch"/>
    <w:rPr>
      <w:rFonts w:ascii="Times New Roman" w:hAnsi="Times New Roman"/>
      <w:color w:val="000000"/>
      <w:sz w:val="24"/>
    </w:rPr>
  </w:style>
  <w:style w:styleId="Style_31_ch" w:type="character">
    <w:name w:val="Default"/>
    <w:link w:val="Style_31"/>
    <w:rPr>
      <w:rFonts w:ascii="Times New Roman" w:hAnsi="Times New Roman"/>
      <w:color w:val="000000"/>
      <w:sz w:val="24"/>
    </w:rPr>
  </w:style>
  <w:style w:styleId="Style_32" w:type="paragraph">
    <w:name w:val="toc 5"/>
    <w:next w:val="Style_7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Body Text Indent 2"/>
    <w:basedOn w:val="Style_7"/>
    <w:link w:val="Style_33_ch"/>
    <w:pPr>
      <w:spacing w:after="120" w:line="480" w:lineRule="auto"/>
      <w:ind w:firstLine="0" w:left="283"/>
    </w:pPr>
  </w:style>
  <w:style w:styleId="Style_33_ch" w:type="character">
    <w:name w:val="Body Text Indent 2"/>
    <w:basedOn w:val="Style_7_ch"/>
    <w:link w:val="Style_33"/>
  </w:style>
  <w:style w:styleId="Style_34" w:type="paragraph">
    <w:name w:val="Без интервала1"/>
    <w:link w:val="Style_34_ch"/>
    <w:pPr>
      <w:ind w:firstLine="720" w:left="0"/>
      <w:jc w:val="both"/>
    </w:pPr>
    <w:rPr>
      <w:rFonts w:ascii="Times New Roman" w:hAnsi="Times New Roman"/>
      <w:sz w:val="24"/>
    </w:rPr>
  </w:style>
  <w:style w:styleId="Style_34_ch" w:type="character">
    <w:name w:val="Без интервала1"/>
    <w:link w:val="Style_34"/>
    <w:rPr>
      <w:rFonts w:ascii="Times New Roman" w:hAnsi="Times New Roman"/>
      <w:sz w:val="24"/>
    </w:rPr>
  </w:style>
  <w:style w:styleId="Style_35" w:type="paragraph">
    <w:name w:val="Subtitle"/>
    <w:next w:val="Style_7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next w:val="Style_7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7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basedOn w:val="Style_7"/>
    <w:next w:val="Style_7"/>
    <w:link w:val="Style_38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8_ch" w:type="character">
    <w:name w:val="heading 2"/>
    <w:basedOn w:val="Style_7_ch"/>
    <w:link w:val="Style_38"/>
    <w:rPr>
      <w:rFonts w:ascii="Arial" w:hAnsi="Arial"/>
      <w:b w:val="1"/>
      <w:i w:val="1"/>
      <w:sz w:val="28"/>
    </w:rPr>
  </w:style>
  <w:style w:styleId="Style_39" w:type="paragraph">
    <w:name w:val="match"/>
    <w:link w:val="Style_39_ch"/>
  </w:style>
  <w:style w:styleId="Style_39_ch" w:type="character">
    <w:name w:val="match"/>
    <w:link w:val="Style_39"/>
  </w:style>
  <w:style w:styleId="Style_40" w:type="table">
    <w:name w:val="Table Grid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media/1.png" Type="http://schemas.openxmlformats.org/officeDocument/2006/relationships/image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2025-12-10T10:50:40Z</dcterms:modified>
</cp:coreProperties>
</file>