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tabs>
          <w:tab w:leader="none" w:pos="1134" w:val="left"/>
        </w:tabs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10388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4110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41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 14.03.2024 №2380-П</w:t>
      </w:r>
    </w:p>
    <w:p w14:paraId="0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Градостроительного кодекса Российской Федерации, 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ООО СЗ «ТрестМ-35» от 17.11.2025 №УАиГ-01/3076</w:t>
      </w:r>
      <w:r>
        <w:rPr>
          <w:rFonts w:ascii="Times New Roman" w:hAnsi="Times New Roman"/>
          <w:sz w:val="28"/>
        </w:rPr>
        <w:t>,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P14"/>
      <w:bookmarkEnd w:id="1"/>
      <w:r>
        <w:rPr>
          <w:rFonts w:ascii="Times New Roman" w:hAnsi="Times New Roman"/>
          <w:sz w:val="28"/>
        </w:rPr>
        <w:t xml:space="preserve">Признать утратившим силу постановление администрации города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14.03.2024 №2380-П «</w:t>
      </w:r>
      <w:r>
        <w:rPr>
          <w:rFonts w:ascii="Times New Roman" w:hAnsi="Times New Roman"/>
          <w:sz w:val="28"/>
        </w:rPr>
        <w:t xml:space="preserve">О подготовке документации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внесении изменений в проект планировки территории города Магнитогорска, утвержденный постановлением администрации города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29.06.2012 № 8505-П, и проекта межевания территории в границах улиц Тевосяна, Радужная, Советская</w:t>
      </w:r>
      <w:r>
        <w:rPr>
          <w:rFonts w:ascii="Times New Roman" w:hAnsi="Times New Roman"/>
          <w:sz w:val="28"/>
        </w:rPr>
        <w:t>».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Г.Д.):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информации;</w:t>
      </w:r>
    </w:p>
    <w:p w14:paraId="12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Хабибуллину Д.Х.</w:t>
      </w: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С.Н. Бердников</w:t>
      </w:r>
    </w:p>
    <w:p w14:paraId="18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113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bookmarkStart w:id="2" w:name="_GoBack"/>
      <w:bookmarkEnd w:id="2"/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Вр-2283717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95" w:left="1204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2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  <w:rPr>
      <w:rFonts w:ascii="Calibri" w:hAnsi="Calibri"/>
    </w:rPr>
  </w:style>
  <w:style w:styleId="Style_3_ch" w:type="character">
    <w:name w:val="List Paragraph"/>
    <w:basedOn w:val="Style_4_ch"/>
    <w:link w:val="Style_3"/>
    <w:rPr>
      <w:rFonts w:ascii="Calibri" w:hAnsi="Calibri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2025-12-08T05:11:54Z</dcterms:modified>
</cp:coreProperties>
</file>