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9888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right="467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 утверждении «Основных направлений долговой политики города Магнитогорска на 20</w:t>
      </w:r>
      <w:r>
        <w:rPr>
          <w:rFonts w:ascii="Times New Roman" w:hAnsi="Times New Roman"/>
          <w:color w:val="000000"/>
          <w:sz w:val="28"/>
        </w:rPr>
        <w:t>26 год и </w:t>
      </w:r>
      <w:r>
        <w:rPr>
          <w:rFonts w:ascii="Times New Roman" w:hAnsi="Times New Roman"/>
          <w:color w:val="000000"/>
          <w:sz w:val="28"/>
        </w:rPr>
        <w:t xml:space="preserve">плановый период 2027 и </w:t>
      </w:r>
      <w:r>
        <w:rPr>
          <w:rFonts w:ascii="Times New Roman" w:hAnsi="Times New Roman"/>
          <w:color w:val="000000"/>
          <w:sz w:val="28"/>
        </w:rPr>
        <w:t>2028 годов»</w:t>
      </w:r>
    </w:p>
    <w:p w14:paraId="0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обеспечения эффективного управления муниципальным долгом города Магнитогорска и принятия мер по снижению долговой нагрузки, в соответствии со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"https://internet.garant.ru/#/document/12112604/entry/10710"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107.1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Бюджетного ко</w:t>
      </w:r>
      <w:r>
        <w:rPr>
          <w:rFonts w:ascii="Times New Roman" w:hAnsi="Times New Roman"/>
          <w:color w:val="000000"/>
          <w:sz w:val="28"/>
        </w:rPr>
        <w:t xml:space="preserve">декса Российской Федерации,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"https://internet.garant.ru/#/document/400550516/entry/9"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статьей 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Положения о бюджетном процессе в городе Магнитогорске, утвержденного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"https://internet.garant.ru/#/document/400550516/entry/0"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Решением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Магнитогорского городского Собрания депутатов от 30 марта 2021 года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102, руководствуясь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"https://internet.garant.ru/#/document/8701737/entry/101"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Уставом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города Магнитогорска,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13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1.  </w:t>
      </w:r>
      <w:r>
        <w:rPr>
          <w:rFonts w:ascii="Times New Roman" w:hAnsi="Times New Roman"/>
          <w:color w:val="000000"/>
          <w:sz w:val="28"/>
        </w:rPr>
        <w:t>Утвердить Основные направления</w:t>
      </w:r>
      <w:r>
        <w:rPr>
          <w:rFonts w:ascii="Times New Roman" w:hAnsi="Times New Roman"/>
          <w:color w:val="000000"/>
          <w:sz w:val="28"/>
        </w:rPr>
        <w:t xml:space="preserve"> долговой политики города Магнитогорска на 2026 год и плановый период 2027 и 2028 годов (приложение).</w:t>
      </w:r>
    </w:p>
    <w:p w14:paraId="14000000">
      <w:pPr>
        <w:widowControl w:val="0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1" w:name="sub_3"/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  </w:t>
      </w:r>
      <w:bookmarkStart w:id="2" w:name="sub_4"/>
      <w:bookmarkEnd w:id="1"/>
      <w:r>
        <w:rPr>
          <w:rFonts w:ascii="Times New Roman" w:hAnsi="Times New Roman"/>
          <w:color w:val="000000"/>
          <w:sz w:val="28"/>
        </w:rPr>
        <w:t>Настоящее постановление вступает в силу с 01.01.2026.</w:t>
      </w:r>
    </w:p>
    <w:p w14:paraId="15000000">
      <w:pPr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Службе внешних связей и молодежной политики администрации города Магнитогорска (Числова </w:t>
      </w:r>
      <w:r>
        <w:rPr>
          <w:rFonts w:ascii="Times New Roman" w:hAnsi="Times New Roman"/>
          <w:color w:val="000000"/>
          <w:sz w:val="28"/>
        </w:rPr>
        <w:t>Г.Д.) опубликовать настоящее постановление в средствах массовой информации до 01.01.2026 и разместить 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официальном сайте администрации города Магнитогорска.</w:t>
      </w:r>
    </w:p>
    <w:p w14:paraId="16000000">
      <w:pPr>
        <w:tabs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bookmarkStart w:id="3" w:name="sub_5"/>
      <w:bookmarkEnd w:id="2"/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заместителя главы города </w:t>
      </w:r>
      <w:r>
        <w:rPr>
          <w:rFonts w:ascii="Times New Roman" w:hAnsi="Times New Roman"/>
          <w:color w:val="000000"/>
          <w:sz w:val="28"/>
        </w:rPr>
        <w:t>Магнитогорска Макарову А.Н.</w:t>
      </w:r>
      <w:bookmarkEnd w:id="3"/>
    </w:p>
    <w:p w14:paraId="17000000">
      <w:pPr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города Магнитогорска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С.Н. Бердников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E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1F000000">
      <w:pPr>
        <w:spacing w:after="0" w:line="240" w:lineRule="auto"/>
        <w:ind/>
        <w:rPr>
          <w:rFonts w:ascii="Times New Roman" w:hAnsi="Times New Roman"/>
          <w:color w:val="000000"/>
        </w:rPr>
      </w:pPr>
    </w:p>
    <w:p w14:paraId="20000000">
      <w:pPr>
        <w:sectPr>
          <w:headerReference r:id="rId2" w:type="default"/>
          <w:headerReference r:id="rId3" w:type="firs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1000000">
      <w:pPr>
        <w:widowControl w:val="0"/>
        <w:spacing w:after="0" w:line="240" w:lineRule="auto"/>
        <w:ind w:firstLine="284" w:left="55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</w:t>
      </w:r>
      <w:r>
        <w:rPr>
          <w:rFonts w:ascii="Times New Roman" w:hAnsi="Times New Roman"/>
          <w:color w:val="000000"/>
          <w:sz w:val="24"/>
        </w:rPr>
        <w:t xml:space="preserve">иложение </w:t>
      </w:r>
    </w:p>
    <w:p w14:paraId="22000000">
      <w:pPr>
        <w:widowControl w:val="0"/>
        <w:spacing w:after="0" w:line="240" w:lineRule="auto"/>
        <w:ind w:firstLine="284" w:left="55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постановлению администрации </w:t>
      </w:r>
    </w:p>
    <w:p w14:paraId="23000000">
      <w:pPr>
        <w:widowControl w:val="0"/>
        <w:spacing w:after="0" w:line="240" w:lineRule="auto"/>
        <w:ind w:firstLine="284" w:left="55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города Магнитогорска</w:t>
      </w:r>
    </w:p>
    <w:p w14:paraId="24000000">
      <w:pPr>
        <w:widowControl w:val="0"/>
        <w:spacing w:after="0" w:line="240" w:lineRule="auto"/>
        <w:ind w:firstLine="284" w:left="552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от 20.11.2025 № </w:t>
      </w:r>
      <w:r>
        <w:rPr>
          <w:rFonts w:ascii="Times New Roman" w:hAnsi="Times New Roman"/>
          <w:color w:val="000000"/>
          <w:sz w:val="24"/>
        </w:rPr>
        <w:t xml:space="preserve">9888-П 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направления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долговой политики города Магнитогорска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2026 год и плановый период 2027 и 2028 годов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Общи</w:t>
      </w:r>
      <w:bookmarkStart w:id="4" w:name="_GoBack"/>
      <w:bookmarkEnd w:id="4"/>
      <w:r>
        <w:rPr>
          <w:rFonts w:ascii="Times New Roman" w:hAnsi="Times New Roman"/>
          <w:color w:val="000000"/>
          <w:sz w:val="28"/>
        </w:rPr>
        <w:t>е положения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Основные направления долговой </w:t>
      </w:r>
      <w:r>
        <w:rPr>
          <w:rFonts w:ascii="Times New Roman" w:hAnsi="Times New Roman"/>
          <w:color w:val="000000"/>
          <w:sz w:val="28"/>
        </w:rPr>
        <w:t>политики города Магнитогорска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на 2026 год и плановый период 2027 и 2028 годов (далее – долговая политика города) разработаны в соответствии со статьей 107.1 Бюджетного кодекса Российской Федерации в целях реализации ответственной долговой политики города и</w:t>
      </w:r>
      <w:r>
        <w:rPr>
          <w:rFonts w:ascii="Times New Roman" w:hAnsi="Times New Roman"/>
          <w:color w:val="000000"/>
          <w:sz w:val="28"/>
        </w:rPr>
        <w:t xml:space="preserve"> повышения ее эффективности, а также обеспечения планирования потребности в долговых заимствованиях, соответствующих возможностям бюджета города Магнитогорска по обслуживанию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и привлечению муниципального долга города Магнитогорска (далее – муниципальный до</w:t>
      </w:r>
      <w:r>
        <w:rPr>
          <w:rFonts w:ascii="Times New Roman" w:hAnsi="Times New Roman"/>
          <w:color w:val="000000"/>
          <w:sz w:val="28"/>
        </w:rPr>
        <w:t>лг).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Долговая политика города предполагает комплекс мероприятий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планированию, привлечению, погашению и обслуживанию долговых обязательств с целью поддержания долговых обязательств на экономически безопасном уровне с учетом возможных рисков, обеспече</w:t>
      </w:r>
      <w:r>
        <w:rPr>
          <w:rFonts w:ascii="Times New Roman" w:hAnsi="Times New Roman"/>
          <w:color w:val="000000"/>
          <w:sz w:val="28"/>
        </w:rPr>
        <w:t>ния исполнения долговых обязательств в полном объеме при исполнении всех других расходных обязательств, обеспечения минимально возможной стоимости обслуживания долговых обязательств.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Основные направления долговой политики города устанавливают </w:t>
      </w:r>
      <w:r>
        <w:rPr>
          <w:rFonts w:ascii="Times New Roman" w:hAnsi="Times New Roman"/>
          <w:color w:val="000000"/>
          <w:spacing w:val="-6"/>
          <w:sz w:val="28"/>
        </w:rPr>
        <w:t xml:space="preserve">основные </w:t>
      </w:r>
      <w:r>
        <w:rPr>
          <w:rFonts w:ascii="Times New Roman" w:hAnsi="Times New Roman"/>
          <w:color w:val="000000"/>
          <w:spacing w:val="-6"/>
          <w:sz w:val="28"/>
        </w:rPr>
        <w:t>факторы, определяющие характер и направления долговой политики</w:t>
      </w:r>
      <w:r>
        <w:rPr>
          <w:rFonts w:ascii="Times New Roman" w:hAnsi="Times New Roman"/>
          <w:color w:val="000000"/>
          <w:sz w:val="28"/>
        </w:rPr>
        <w:t xml:space="preserve"> города, цели, задачи и инструменты реализации долговой политики города,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а также риски, возникающие в процессе управления муниципальным долгом.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Управление муниципальным долгом включает следу</w:t>
      </w:r>
      <w:r>
        <w:rPr>
          <w:rFonts w:ascii="Times New Roman" w:hAnsi="Times New Roman"/>
          <w:color w:val="000000"/>
          <w:sz w:val="28"/>
        </w:rPr>
        <w:t>ющие направления: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планирование объема, сроков погашения и структуры муниципального долга;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осуществление операций с муниципальным долгом в виде обслуживания и погашения долга;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осуществление учета и формирование отчетности по долговым обязательст</w:t>
      </w:r>
      <w:r>
        <w:rPr>
          <w:rFonts w:ascii="Times New Roman" w:hAnsi="Times New Roman"/>
          <w:color w:val="000000"/>
          <w:sz w:val="28"/>
        </w:rPr>
        <w:t>вам.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Долговая политика города Магнитогорска является неотъемлемой частью бюджетной политики города Магнитогорска и сформирована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с учетом исполнения условий соглашения «О мерах по социально-экономическому развитию и оздоровлению муниципальных финансов </w:t>
      </w:r>
      <w:r>
        <w:rPr>
          <w:rFonts w:ascii="Times New Roman" w:hAnsi="Times New Roman"/>
          <w:color w:val="000000"/>
          <w:sz w:val="28"/>
        </w:rPr>
        <w:t>Магнитогорского городского округа», заключенного с Министерством финансов Челябинской области.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Итоги реализации долговой политики</w:t>
      </w:r>
    </w:p>
    <w:p w14:paraId="32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По итогам исполнения бюджета города Магнитогорска за 2024 год</w:t>
      </w:r>
      <w:r>
        <w:rPr>
          <w:rFonts w:ascii="Calibri" w:hAnsi="Calibri"/>
        </w:rPr>
        <w:br/>
      </w:r>
      <w:r>
        <w:rPr>
          <w:rFonts w:ascii="Times New Roman" w:hAnsi="Times New Roman"/>
          <w:sz w:val="28"/>
        </w:rPr>
        <w:t>и за 9 месяцев 2025 года муниципальные заимствования не</w:t>
      </w:r>
      <w:r>
        <w:rPr>
          <w:rFonts w:ascii="Times New Roman" w:hAnsi="Times New Roman"/>
          <w:sz w:val="28"/>
        </w:rPr>
        <w:t xml:space="preserve"> осуществлялись, муниципальные гарантии не предоставлялись, муниципальные ценные бумаги не выпускались, долговые обязательства города Магнитогорска отсутствуют.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Долговая политика города предыдущих периодов была направлена: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на сдерживание роста расходов</w:t>
      </w:r>
      <w:r>
        <w:rPr>
          <w:rFonts w:ascii="Times New Roman" w:hAnsi="Times New Roman"/>
          <w:color w:val="000000"/>
          <w:spacing w:val="-6"/>
          <w:sz w:val="28"/>
        </w:rPr>
        <w:t xml:space="preserve"> на обслуживание муниципального долга;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поддержание высокого уровня долговой устойчивости за счет обеспечения показателей долговой устойчивости на уровне, не превышающем значения, в том числе установленные статьей 107.1 Бюджетного кодекса Российской Федерац</w:t>
      </w:r>
      <w:r>
        <w:rPr>
          <w:rFonts w:ascii="Times New Roman" w:hAnsi="Times New Roman"/>
          <w:color w:val="000000"/>
          <w:sz w:val="28"/>
        </w:rPr>
        <w:t>ии для муниципальных образований, отнесенных к группе заемщиков с высоким уровнем долговой устойчивости, что свидетельствует о низком уровне рисков;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осуществление систематического отбора форм заимствований, максимально соответствующих потребностям бюджета </w:t>
      </w:r>
      <w:r>
        <w:rPr>
          <w:rFonts w:ascii="Times New Roman" w:hAnsi="Times New Roman"/>
          <w:color w:val="000000"/>
          <w:sz w:val="28"/>
        </w:rPr>
        <w:t>города Магнитогорска и способствующих снижению стоимости заимствований.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 критерием, учитываемым при выборе форм заимствований, являлась минимизация стоимости обслуживания долговых обязательств.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минимизации расходов на обслуживание муниципал</w:t>
      </w:r>
      <w:r>
        <w:rPr>
          <w:rFonts w:ascii="Times New Roman" w:hAnsi="Times New Roman"/>
          <w:sz w:val="28"/>
        </w:rPr>
        <w:t>ьного долга города Магнитогорска в 2025 году была открыта возобновляемая кредитная линия, что обеспечивает гибкость реализуемой долговой политики и позволяет кредитоваться непосредственно под фактическую потребность, своевременно погашая коммерческую задол</w:t>
      </w:r>
      <w:r>
        <w:rPr>
          <w:rFonts w:ascii="Times New Roman" w:hAnsi="Times New Roman"/>
          <w:sz w:val="28"/>
        </w:rPr>
        <w:t>женность при появлении свободных средств бюджета города Магнитогорска.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Информация об основных показателях состояния муниципального долга за 2023 - 2025 годы приведена в таблице.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</w:rPr>
      </w:pPr>
    </w:p>
    <w:p w14:paraId="3C000000">
      <w:pPr>
        <w:spacing w:after="0" w:line="240" w:lineRule="auto"/>
        <w:ind w:firstLine="567" w:lef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Таблица 1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Показатели,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характеризующие объем и структуру муниципального </w:t>
      </w:r>
      <w:r>
        <w:rPr>
          <w:rFonts w:ascii="Times New Roman" w:hAnsi="Times New Roman"/>
          <w:color w:val="000000"/>
          <w:sz w:val="28"/>
        </w:rPr>
        <w:t>долга города Магнитогорска в 2023-2025 годах</w:t>
      </w:r>
    </w:p>
    <w:p w14:paraId="3E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10"/>
        </w:rPr>
      </w:pPr>
    </w:p>
    <w:tbl>
      <w:tblPr>
        <w:tblStyle w:val="Style_3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540"/>
        <w:gridCol w:w="1640"/>
        <w:gridCol w:w="1601"/>
        <w:gridCol w:w="1603"/>
      </w:tblGrid>
      <w:tr>
        <w:tc>
          <w:tcPr>
            <w:tcW w:type="dxa" w:w="4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1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</w:t>
            </w:r>
          </w:p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type="dxa" w:w="1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>
        <w:tc>
          <w:tcPr>
            <w:tcW w:type="dxa" w:w="4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муниципального долга, тыс. рублей, в том числе: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c>
          <w:tcPr>
            <w:tcW w:type="dxa" w:w="4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кредиты кредитных организаций, тыс. рублей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c>
          <w:tcPr>
            <w:tcW w:type="dxa" w:w="4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бюджетные кредиты от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других бюджетов бюджетной системы Российской Федерации, тыс. рублей</w:t>
            </w:r>
          </w:p>
        </w:tc>
        <w:tc>
          <w:tcPr>
            <w:tcW w:type="dxa" w:w="1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</w:tbl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tbl>
      <w:tblPr>
        <w:tblStyle w:val="Style_3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317"/>
        <w:gridCol w:w="1231"/>
        <w:gridCol w:w="854"/>
        <w:gridCol w:w="948"/>
        <w:gridCol w:w="1013"/>
        <w:gridCol w:w="1244"/>
        <w:gridCol w:w="777"/>
      </w:tblGrid>
      <w:tr>
        <w:trPr>
          <w:trHeight w:hRule="atLeast" w:val="240"/>
        </w:trPr>
        <w:tc>
          <w:tcPr>
            <w:tcW w:type="dxa" w:w="33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208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type="dxa" w:w="19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type="dxa" w:w="202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>
        <w:tc>
          <w:tcPr>
            <w:tcW w:type="dxa" w:w="33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2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план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факт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план</w:t>
            </w:r>
          </w:p>
        </w:tc>
        <w:tc>
          <w:tcPr>
            <w:tcW w:type="dxa" w:w="1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факт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план</w:t>
            </w:r>
          </w:p>
        </w:tc>
        <w:tc>
          <w:tcPr>
            <w:tcW w:type="dxa" w:w="7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факт</w:t>
            </w:r>
          </w:p>
        </w:tc>
      </w:tr>
      <w:tr>
        <w:tc>
          <w:tcPr>
            <w:tcW w:type="dxa" w:w="33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обслуживание муниципального долга, тыс. рублей</w:t>
            </w:r>
          </w:p>
        </w:tc>
        <w:tc>
          <w:tcPr>
            <w:tcW w:type="dxa" w:w="12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2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</w:tbl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9.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 xml:space="preserve">В 2026 </w:t>
      </w:r>
      <w:r>
        <w:rPr>
          <w:rFonts w:ascii="Times New Roman" w:hAnsi="Times New Roman"/>
          <w:sz w:val="28"/>
        </w:rPr>
        <w:t>году планируется получить кредит от кредитной организации в сумме 300 000,00 тыс. рублей.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поставленными целями и задачами в 2028 году планируется погасить 300 000,00 тыс. рублей.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В результате исполнения условий муниципального контракт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на оказание финансовых услуг по предоставлению кредита, в период его действия должны быть обеспечены следующие параметры: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Отношение общего объема муниципального долга города Магнитогорска к объему доходов бюджета города без учета безвозмездных поступлени</w:t>
      </w:r>
      <w:r>
        <w:rPr>
          <w:rFonts w:ascii="Times New Roman" w:hAnsi="Times New Roman"/>
          <w:color w:val="000000"/>
          <w:sz w:val="28"/>
        </w:rPr>
        <w:t>й: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2026 год - не более 3,47 процентов;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2027 год - не более 3,25 процентов;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2028 год – не более 3,0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процентов.</w:t>
      </w: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 Основные факторы, определяющие характер и направления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долговой политики</w:t>
      </w:r>
    </w:p>
    <w:p w14:paraId="6E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 Основными факторами, определяющими характер и направле</w:t>
      </w:r>
      <w:r>
        <w:rPr>
          <w:rFonts w:ascii="Times New Roman" w:hAnsi="Times New Roman"/>
          <w:color w:val="000000"/>
          <w:sz w:val="28"/>
        </w:rPr>
        <w:t>ния долговой политики города в 2026-2028 годах являются: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проводимая Центральным Банком России денежно-кредитная политика, принимаемые решения по уровню ключевой ставки;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изменчивость финансовой конъюнктуры, обусловленная в том числе неблагоприятными</w:t>
      </w:r>
      <w:r>
        <w:rPr>
          <w:rFonts w:ascii="Times New Roman" w:hAnsi="Times New Roman"/>
          <w:color w:val="000000"/>
          <w:sz w:val="28"/>
        </w:rPr>
        <w:t xml:space="preserve"> внешнеполитическими факторами и санкционным давлением со стороны иностранных государств;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риски снижения налоговых и неналоговых доходов бюджета города Магнитогорска и роста расходов бюджета города Магнитогорска вследствие влияния ухудшения </w:t>
      </w:r>
      <w:r>
        <w:rPr>
          <w:rFonts w:ascii="Times New Roman" w:hAnsi="Times New Roman"/>
          <w:color w:val="000000"/>
          <w:sz w:val="28"/>
        </w:rPr>
        <w:t>экономической ситуации;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изменение федерального и регионального налогового и бюджетного законодательства, влияющего на поступление доходов в бюджет города Магнитогорска.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Долговая политика города должна реализовываться с учетом эффективного </w:t>
      </w:r>
      <w:r>
        <w:rPr>
          <w:rFonts w:ascii="Times New Roman" w:hAnsi="Times New Roman"/>
          <w:color w:val="000000"/>
          <w:sz w:val="28"/>
        </w:rPr>
        <w:t>управления текущей ликвидностью бюджета города Магнитогорска за счет дальнейшего использования остатков средств с целью минимизации расходов на обслуживание муниципального долга, а также информирования населения о состоянии муниципального долга.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7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Цели и</w:t>
      </w:r>
      <w:r>
        <w:rPr>
          <w:rFonts w:ascii="Times New Roman" w:hAnsi="Times New Roman"/>
          <w:color w:val="000000"/>
          <w:sz w:val="28"/>
        </w:rPr>
        <w:t xml:space="preserve"> задачи долговой политики</w:t>
      </w:r>
    </w:p>
    <w:p w14:paraId="77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Реализация долговой политики города в 2026 - 2028 годах будет осуществляться в соответствии со следующими целями: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обеспечение сбалансированности бюджета города Магнитогорска;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поддержание низкой долговой нагрузки на б</w:t>
      </w:r>
      <w:r>
        <w:rPr>
          <w:rFonts w:ascii="Times New Roman" w:hAnsi="Times New Roman"/>
          <w:color w:val="000000"/>
          <w:sz w:val="28"/>
        </w:rPr>
        <w:t>юджет города Магнитогорска;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снижение издержек, связанных с привлечением и обслуживанием муниципального долга, с учетом ситуации на финансовом рынке;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обеспечение прозрачности процессов управления муниципальным долгом и раскрытие информации о нем;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снижение рисков в сфере управления муниципальным долгом.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14.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Для достижения целей необходимо решение следующих задач: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обеспечение параметров муниципального долга в рамках, установленных бюджетным законодательством Российской Федерации;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равномерн</w:t>
      </w:r>
      <w:r>
        <w:rPr>
          <w:rFonts w:ascii="Times New Roman" w:hAnsi="Times New Roman"/>
          <w:color w:val="000000"/>
          <w:sz w:val="28"/>
        </w:rPr>
        <w:t>ое распределение долговой нагрузки по годам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и минимизация стоимости обслуживания заимствований;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своевременное исполнение и обслуживание долговых обязательств города Магнитогорска;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обеспечение оптимальной структуры заимствований по видам обязательст</w:t>
      </w:r>
      <w:r>
        <w:rPr>
          <w:rFonts w:ascii="Times New Roman" w:hAnsi="Times New Roman"/>
          <w:color w:val="000000"/>
          <w:sz w:val="28"/>
        </w:rPr>
        <w:t>в и срокам их погашения;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выполнение условий, установленных соглашением «О мерах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по социально-экономическому развитию и оздоровлению муниципальных финансов Магнитогорского городского округа», заключенным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с Министерством финансов Челябинской области.</w:t>
      </w: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8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Инструменты реализации долговой политики</w:t>
      </w:r>
    </w:p>
    <w:p w14:paraId="8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15.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Реализация основных направлений долговой политики города включает следующие инструменты: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контроль при среднесрочном планировании объемов заимствований, осуществляемых в текущих и прогнозируемых условиях;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недопущение принятия новых расходных обязательств,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не обеспеченных стабильными источниками финансирования;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эффективное управление свободными остатками средств бюджета города Магнитогорска;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досрочное погашение долговых обязательств;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обеспече</w:t>
      </w:r>
      <w:r>
        <w:rPr>
          <w:rFonts w:ascii="Times New Roman" w:hAnsi="Times New Roman"/>
          <w:color w:val="000000"/>
          <w:sz w:val="28"/>
        </w:rPr>
        <w:t>ние своевременного и полного учета долговых обязательств, формирование отчетности о муниципальном долге.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16.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Реализация долговой политики города в 2026-2028 годах будет способствовать снижению долговой нагрузки на бюджет города Магнитогорска, росту долгов</w:t>
      </w:r>
      <w:r>
        <w:rPr>
          <w:rFonts w:ascii="Times New Roman" w:hAnsi="Times New Roman"/>
          <w:color w:val="000000"/>
          <w:sz w:val="28"/>
        </w:rPr>
        <w:t>ой устойчивости бюджета и повышению инвестиционной привлекательности города Магнитогорска.</w:t>
      </w:r>
    </w:p>
    <w:p w14:paraId="8E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</w:p>
    <w:p w14:paraId="8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Анализ рисков для бюджета, возникающих в процессе управления муниципальным долгом</w:t>
      </w:r>
    </w:p>
    <w:p w14:paraId="90000000">
      <w:pPr>
        <w:spacing w:after="0" w:line="240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17.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Важное место в достижении целей долговой политики города занимает оценка </w:t>
      </w:r>
      <w:r>
        <w:rPr>
          <w:rFonts w:ascii="Times New Roman" w:hAnsi="Times New Roman"/>
          <w:color w:val="000000"/>
          <w:sz w:val="28"/>
        </w:rPr>
        <w:t xml:space="preserve">потенциальных рисков, возникающих в процессе её реализации. 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Основными рисками при управлении муниципальным долгом являются: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риск недостижения планируемых объемов поступлений доходов бюджета города Магнитогорска - недопоступление доходов потребует поис</w:t>
      </w:r>
      <w:r>
        <w:rPr>
          <w:rFonts w:ascii="Times New Roman" w:hAnsi="Times New Roman"/>
          <w:color w:val="000000"/>
          <w:sz w:val="28"/>
        </w:rPr>
        <w:t>ка альтернативных источников для выполнения принятых расходных обязательств бюджета города Магнитогорска и обеспечения его сбалансированности;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риск процентной ставки - риск финансовых потерь, связанный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с ростом процентных ставок на рынке заимствований </w:t>
      </w:r>
      <w:r>
        <w:rPr>
          <w:rFonts w:ascii="Times New Roman" w:hAnsi="Times New Roman"/>
          <w:color w:val="000000"/>
          <w:sz w:val="28"/>
        </w:rPr>
        <w:t>вследствие увеличения Центральным банком Российской Федерации ключевой ставки, вероятность увеличения расходов бюджета города Магнитогорска на обслуживание муниципального долга;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риск ликвидности - отсутствие на едином счете бюджета города Магнитогорска</w:t>
      </w:r>
      <w:r>
        <w:rPr>
          <w:rFonts w:ascii="Times New Roman" w:hAnsi="Times New Roman"/>
          <w:color w:val="000000"/>
          <w:sz w:val="28"/>
        </w:rPr>
        <w:t xml:space="preserve"> необходимых средств для полного исполнения расходных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и долговых обязательств муниципального образования в срок.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Основной мерой, принимаемой в отношении управления рисками, связанными с реализацией долговой политики города, является осуществление дост</w:t>
      </w:r>
      <w:r>
        <w:rPr>
          <w:rFonts w:ascii="Times New Roman" w:hAnsi="Times New Roman"/>
          <w:color w:val="000000"/>
          <w:sz w:val="28"/>
        </w:rPr>
        <w:t>оверного прогнозирования доходов бюджета города Магнитогорска и поступлений по источникам финансирования дефицита бюджета города Магнитогорска, а также принятие взвешенных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 xml:space="preserve">и экономически обоснованных решений в части согласования новых расходных и долговых </w:t>
      </w:r>
      <w:r>
        <w:rPr>
          <w:rFonts w:ascii="Times New Roman" w:hAnsi="Times New Roman"/>
          <w:color w:val="000000"/>
          <w:sz w:val="28"/>
        </w:rPr>
        <w:t>обязательств.</w:t>
      </w:r>
    </w:p>
    <w:p w14:paraId="9700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5" w:type="first"/>
      <w:footerReference r:id="rId6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Вр-2256985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Вр-2256985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index heading"/>
    <w:basedOn w:val="Style_4"/>
    <w:link w:val="Style_14_ch"/>
    <w:rPr>
      <w:rFonts w:ascii="PT Astra Serif" w:hAnsi="PT Astra Serif"/>
    </w:rPr>
  </w:style>
  <w:style w:styleId="Style_14_ch" w:type="character">
    <w:name w:val="index heading"/>
    <w:basedOn w:val="Style_4_ch"/>
    <w:link w:val="Style_14"/>
    <w:rPr>
      <w:rFonts w:ascii="PT Astra Serif" w:hAnsi="PT Astra Serif"/>
    </w:rPr>
  </w:style>
  <w:style w:styleId="Style_15" w:type="paragraph">
    <w:name w:val="Body Text"/>
    <w:basedOn w:val="Style_4"/>
    <w:link w:val="Style_15_ch"/>
    <w:pPr>
      <w:spacing w:after="140"/>
      <w:ind/>
    </w:pPr>
  </w:style>
  <w:style w:styleId="Style_15_ch" w:type="character">
    <w:name w:val="Body Text"/>
    <w:basedOn w:val="Style_4_ch"/>
    <w:link w:val="Style_15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aption"/>
    <w:basedOn w:val="Style_4"/>
    <w:link w:val="Style_20_ch"/>
    <w:pPr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4_ch"/>
    <w:link w:val="Style_20"/>
    <w:rPr>
      <w:rFonts w:ascii="PT Astra Serif" w:hAnsi="PT Astra Serif"/>
      <w:i w:val="1"/>
      <w:sz w:val="24"/>
    </w:rPr>
  </w:style>
  <w:style w:styleId="Style_21" w:type="paragraph">
    <w:name w:val="Header and Footer"/>
    <w:basedOn w:val="Style_4"/>
    <w:link w:val="Style_21_ch"/>
  </w:style>
  <w:style w:styleId="Style_21_ch" w:type="character">
    <w:name w:val="Header and Footer"/>
    <w:basedOn w:val="Style_4_ch"/>
    <w:link w:val="Style_21"/>
  </w:style>
  <w:style w:styleId="Style_22" w:type="paragraph">
    <w:name w:val="List"/>
    <w:basedOn w:val="Style_15"/>
    <w:link w:val="Style_22_ch"/>
    <w:rPr>
      <w:rFonts w:ascii="PT Astra Serif" w:hAnsi="PT Astra Serif"/>
    </w:rPr>
  </w:style>
  <w:style w:styleId="Style_22_ch" w:type="character">
    <w:name w:val="List"/>
    <w:basedOn w:val="Style_15_ch"/>
    <w:link w:val="Style_22"/>
    <w:rPr>
      <w:rFonts w:ascii="PT Astra Serif" w:hAnsi="PT Astra Serif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4"/>
    <w:next w:val="Style_15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4_ch"/>
    <w:link w:val="Style_28"/>
    <w:rPr>
      <w:rFonts w:ascii="PT Astra Serif" w:hAnsi="PT Astra Serif"/>
      <w:sz w:val="28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2025-11-21T06:48:23Z</dcterms:modified>
</cp:coreProperties>
</file>