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19.1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№9834 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254"/>
        <w:jc w:val="left"/>
        <w:rPr>
          <w:rFonts w:ascii="Times New Roman" w:hAnsi="Times New Roman"/>
          <w:sz w:val="28"/>
        </w:rPr>
      </w:pPr>
    </w:p>
    <w:p w14:paraId="0B000000">
      <w:pPr>
        <w:pStyle w:val="Style_3"/>
        <w:spacing w:after="0" w:before="0" w:line="240" w:lineRule="auto"/>
        <w:ind w:firstLine="0" w:left="0" w:right="425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отказе в предоставлении разрешения </w:t>
      </w:r>
      <w:r>
        <w:rPr>
          <w:rFonts w:ascii="Times New Roman" w:hAnsi="Times New Roman"/>
          <w:sz w:val="28"/>
        </w:rPr>
        <w:t xml:space="preserve">на условно разрешенный вид </w:t>
      </w:r>
      <w:r>
        <w:rPr>
          <w:rFonts w:ascii="Times New Roman" w:hAnsi="Times New Roman"/>
          <w:sz w:val="28"/>
        </w:rPr>
        <w:t>использования земельного участка</w:t>
      </w:r>
    </w:p>
    <w:p w14:paraId="0C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0D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Times New Roman" w:hAnsi="Times New Roman"/>
          <w:sz w:val="28"/>
        </w:rPr>
        <w:t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</w:rPr>
        <w:t>ООО «СФЕРА»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color w:val="000000"/>
          <w:spacing w:val="0"/>
          <w:sz w:val="28"/>
        </w:rPr>
        <w:t>02.10.2025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b w:val="0"/>
          <w:color w:val="000000"/>
          <w:spacing w:val="0"/>
          <w:sz w:val="28"/>
        </w:rPr>
        <w:t>ЕПГУ 6198358788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оповещения о начале общественных обсуждений, опубликованного в газете «Магнитогорский рабочий» от 10.10.2025 № 117, заключения о результатах общественных обсуждений от 07.11.2025, опубликованного в газете «Магнитогорский рабочий» от 07.11.2025 № 127, рекомендаций комиссии по подготовке проекта правил землепользования и застройки в городе Магнитогорске главе горо</w:t>
      </w:r>
      <w:r>
        <w:rPr>
          <w:rFonts w:ascii="Times New Roman" w:hAnsi="Times New Roman"/>
          <w:color w:val="000000"/>
          <w:sz w:val="28"/>
        </w:rPr>
        <w:t>да Магнитогорска (от 10.11.2025 № АГ-03/2137), у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читывая пункт 2 статьи 20 Правил землепользования и застройки города Магнитогорска (условно разрешенный вид использования «производственная деятельность» (код 6.0) предусмотрен для размещения объекта капитального строительства – промышленных и коммунально-складских предприятий I - II класса опасности, требующие большегрузного или железнодорожного транспорта, промышленных и коммунально-складских предприятий III – V класса опасности), отсутствие в границах земельного участка с кадастровым номером 74:33:1116001:123 объектов капитального строительства – промышленных и коммунально-складских предприятий I - II класса опасности, требующих большегрузного или железнодорожного транспорта, промышленных и коммунально-складских предприятий III – V класса опасности (согласно сведениям выписки из Единого государственного реестра недвижимости от 07.10.2025 № КУВИ-001/2025-187102499)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br/>
      </w:r>
      <w:r>
        <w:rPr>
          <w:rFonts w:ascii="Times New Roman" w:hAnsi="Times New Roman"/>
          <w:color w:val="000000"/>
          <w:sz w:val="28"/>
        </w:rPr>
        <w:t>пункт 4.1 статьи 12 Правил землепользования и застройки города Магнитогорска, а именно изменение одного вида разрешенного использования земельного участка на другой вид такого использования должно соответствовать документации по планировке территории, подготовленной и утвержденной в соответствии с требованиями Градостроительного кодекса Российской Федерации, в связи с отсутствием утвержденной документации проекта планировки территории изменение вида разрешенного использования не имеет оснований, руководствуясь Уставом города Магнитогорска,</w:t>
      </w:r>
    </w:p>
    <w:p w14:paraId="0E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0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Отказат</w:t>
      </w:r>
      <w:r>
        <w:rPr>
          <w:rFonts w:ascii="Times New Roman" w:hAnsi="Times New Roman"/>
          <w:color w:val="000000"/>
          <w:sz w:val="28"/>
        </w:rPr>
        <w:t xml:space="preserve">ь в предоставлении разрешения на условно разрешенный вид использования – производственная деятельность (код 6.0) земельного участка, из категории земель: земли населенных пунктов (территориальная зона ПК-2, зона производственно-коммунальных объектов I - II классов, 74:33-6.367 – санитарно-защитная зона для левобережного промышленного узла г. Магнитогорск, с учетом перспективы развития предприятия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ПАО «ММК», 74:00-6.721 –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р. Башик при половодьях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и паводках 1-процентной обеспеченности (повторяемость один раз </w:t>
      </w:r>
      <w:r>
        <w:br/>
      </w:r>
      <w:r>
        <w:rPr>
          <w:rFonts w:ascii="Times New Roman" w:hAnsi="Times New Roman"/>
          <w:color w:val="000000"/>
          <w:sz w:val="28"/>
        </w:rPr>
        <w:t>в 100 лет)) с кадастровым номером 74:33:1116001:123, расположенного: Челябинская область, г Магнитогорск, установлено относительно ориентира объект незавершенного строительства, в районе ул. Среднеуральская, 2</w:t>
      </w:r>
      <w:r>
        <w:rPr>
          <w:rFonts w:ascii="Times New Roman" w:hAnsi="Times New Roman"/>
          <w:color w:val="000000"/>
          <w:spacing w:val="0"/>
          <w:sz w:val="28"/>
        </w:rPr>
        <w:t>.</w:t>
      </w:r>
    </w:p>
    <w:p w14:paraId="11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со дня его подписания.</w:t>
      </w:r>
    </w:p>
    <w:p w14:paraId="13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5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7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Вр-2260228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Заголовок"/>
    <w:basedOn w:val="Style_3"/>
    <w:next w:val="Style_6"/>
    <w:link w:val="Style_5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"/>
    <w:basedOn w:val="Style_3_ch"/>
    <w:link w:val="Style_5"/>
    <w:rPr>
      <w:rFonts w:ascii="PT Astra Serif" w:hAnsi="PT Astra Serif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Указатель"/>
    <w:basedOn w:val="Style_3"/>
    <w:link w:val="Style_8_ch"/>
    <w:rPr>
      <w:rFonts w:ascii="PT Astra Serif" w:hAnsi="PT Astra Serif"/>
    </w:rPr>
  </w:style>
  <w:style w:styleId="Style_8_ch" w:type="character">
    <w:name w:val="Указатель"/>
    <w:basedOn w:val="Style_3_ch"/>
    <w:link w:val="Style_8"/>
    <w:rPr>
      <w:rFonts w:ascii="PT Astra Serif" w:hAnsi="PT Astra Serif"/>
    </w:rPr>
  </w:style>
  <w:style w:styleId="Style_9" w:type="paragraph">
    <w:name w:val="Caption"/>
    <w:basedOn w:val="Style_3"/>
    <w:link w:val="Style_9_ch"/>
    <w:pPr>
      <w:spacing w:after="120" w:before="120"/>
      <w:ind/>
    </w:pPr>
    <w:rPr>
      <w:rFonts w:ascii="PT Astra Serif" w:hAnsi="PT Astra Serif"/>
      <w:i w:val="1"/>
      <w:sz w:val="24"/>
    </w:rPr>
  </w:style>
  <w:style w:styleId="Style_9_ch" w:type="character">
    <w:name w:val="Caption"/>
    <w:basedOn w:val="Style_3_ch"/>
    <w:link w:val="Style_9"/>
    <w:rPr>
      <w:rFonts w:ascii="PT Astra Serif" w:hAnsi="PT Astra Serif"/>
      <w:i w:val="1"/>
      <w:sz w:val="24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Верхний колонтитул Знак"/>
    <w:basedOn w:val="Style_13"/>
    <w:link w:val="Style_12_ch"/>
  </w:style>
  <w:style w:styleId="Style_12_ch" w:type="character">
    <w:name w:val="Верхний колонтитул Знак"/>
    <w:basedOn w:val="Style_13_ch"/>
    <w:link w:val="Style_12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Колонтитул"/>
    <w:basedOn w:val="Style_3"/>
    <w:link w:val="Style_16_ch"/>
  </w:style>
  <w:style w:styleId="Style_16_ch" w:type="character">
    <w:name w:val="Колонтитул"/>
    <w:basedOn w:val="Style_3_ch"/>
    <w:link w:val="Style_16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Нижний колонтитул Знак"/>
    <w:basedOn w:val="Style_13"/>
    <w:link w:val="Style_18_ch"/>
  </w:style>
  <w:style w:styleId="Style_18_ch" w:type="character">
    <w:name w:val="Нижний колонтитул Знак"/>
    <w:basedOn w:val="Style_13_ch"/>
    <w:link w:val="Style_18"/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9" w:type="paragraph">
    <w:name w:val="List"/>
    <w:basedOn w:val="Style_6"/>
    <w:link w:val="Style_19_ch"/>
    <w:rPr>
      <w:rFonts w:ascii="PT Astra Serif" w:hAnsi="PT Astra Serif"/>
    </w:rPr>
  </w:style>
  <w:style w:styleId="Style_19_ch" w:type="character">
    <w:name w:val="List"/>
    <w:basedOn w:val="Style_6_ch"/>
    <w:link w:val="Style_19"/>
    <w:rPr>
      <w:rFonts w:ascii="PT Astra Serif" w:hAnsi="PT Astra Serif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6" w:type="paragraph">
    <w:name w:val="Body Text"/>
    <w:basedOn w:val="Style_3"/>
    <w:link w:val="Style_6_ch"/>
    <w:pPr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Balloon Text"/>
    <w:basedOn w:val="Style_3"/>
    <w:link w:val="Style_29_ch"/>
    <w:pPr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2025-11-20T04:48:42Z</dcterms:modified>
</cp:coreProperties>
</file>