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tabs>
          <w:tab w:leader="none" w:pos="1134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spacing w:val="-4"/>
          <w:sz w:val="28"/>
        </w:rPr>
        <w:t>12.1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9583</w:t>
      </w:r>
      <w:r>
        <w:rPr>
          <w:spacing w:val="-4"/>
          <w:sz w:val="28"/>
        </w:rPr>
        <w:t>-П</w:t>
      </w:r>
    </w:p>
    <w:p w14:paraId="07000000">
      <w:pPr>
        <w:tabs>
          <w:tab w:leader="none" w:pos="1134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</w:p>
    <w:p w14:paraId="08000000">
      <w:pPr>
        <w:tabs>
          <w:tab w:leader="none" w:pos="1134" w:val="left"/>
        </w:tabs>
        <w:spacing w:after="0" w:line="240" w:lineRule="auto"/>
        <w:ind w:right="38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</w:t>
      </w:r>
      <w:r>
        <w:rPr>
          <w:rFonts w:ascii="Times New Roman" w:hAnsi="Times New Roman"/>
          <w:sz w:val="28"/>
        </w:rPr>
        <w:t xml:space="preserve"> в предоставлении разрешения на </w:t>
      </w:r>
      <w:r>
        <w:rPr>
          <w:rFonts w:ascii="Times New Roman" w:hAnsi="Times New Roman"/>
          <w:sz w:val="28"/>
        </w:rPr>
        <w:t>отклонение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предельных параметров разрешенного строительства,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реконструкции объекта капитального строительства</w:t>
      </w:r>
    </w:p>
    <w:p w14:paraId="09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</w:t>
      </w:r>
      <w:r>
        <w:rPr>
          <w:rFonts w:ascii="Times New Roman" w:hAnsi="Times New Roman"/>
          <w:sz w:val="28"/>
        </w:rPr>
        <w:t xml:space="preserve">тного самоуправления в Российской Федерации», Положением </w:t>
      </w:r>
      <w:r>
        <w:rPr>
          <w:rFonts w:ascii="Times New Roman" w:hAnsi="Times New Roman"/>
          <w:sz w:val="28"/>
        </w:rPr>
        <w:t>об общественных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</w:t>
      </w:r>
      <w:r>
        <w:rPr>
          <w:rFonts w:ascii="Times New Roman" w:hAnsi="Times New Roman"/>
          <w:sz w:val="28"/>
        </w:rPr>
        <w:t xml:space="preserve">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Зверева М.В.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24.09.2025 № СИЭР: 1175273</w:t>
      </w:r>
      <w:r>
        <w:rPr>
          <w:rFonts w:ascii="Times New Roman" w:hAnsi="Times New Roman"/>
          <w:sz w:val="28"/>
        </w:rPr>
        <w:t>, оповещения о начале обще</w:t>
      </w:r>
      <w:r>
        <w:rPr>
          <w:rFonts w:ascii="Times New Roman" w:hAnsi="Times New Roman"/>
          <w:sz w:val="28"/>
        </w:rPr>
        <w:t xml:space="preserve">ственных обсуждений,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03.10.2025 № 114, заключения о результатах общественных обсуждений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31.10.2025,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01.11.2025 № 126, рекомендаций комиссии по подг</w:t>
      </w:r>
      <w:r>
        <w:rPr>
          <w:rFonts w:ascii="Times New Roman" w:hAnsi="Times New Roman"/>
          <w:sz w:val="28"/>
        </w:rPr>
        <w:t>отовке проекта правил землепользования и застройки в городе Магнитогорске главе гор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 xml:space="preserve"> (от</w:t>
      </w:r>
      <w:r>
        <w:rPr>
          <w:rFonts w:ascii="Times New Roman" w:hAnsi="Times New Roman"/>
          <w:sz w:val="28"/>
        </w:rPr>
        <w:t xml:space="preserve"> 06.11.2025 № АГ-03/2106), </w:t>
      </w:r>
      <w:r>
        <w:rPr>
          <w:rFonts w:ascii="Times New Roman" w:hAnsi="Times New Roman"/>
          <w:sz w:val="28"/>
        </w:rPr>
        <w:t>в связи с отсутствием подтверждения неблагоприятных инженерно-геологических и иных характеристик земельного участка, предусмотренных пункт</w:t>
      </w:r>
      <w:r>
        <w:rPr>
          <w:rFonts w:ascii="Times New Roman" w:hAnsi="Times New Roman"/>
          <w:sz w:val="28"/>
        </w:rPr>
        <w:t xml:space="preserve">ом 1 статьи 40 Градостроительного кодекса Российской Федерации; учитывая, что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пунктом 4 статьи 17 Правил землепользования и застройки города Магнитогорска вид разрешенного использования «Для индивидуального жилищного строительства» предусм</w:t>
      </w:r>
      <w:r>
        <w:rPr>
          <w:rFonts w:ascii="Times New Roman" w:hAnsi="Times New Roman"/>
          <w:sz w:val="28"/>
        </w:rPr>
        <w:t>атривает размещение гаражей для собственных нужд, однако согласно предоставленного технического плана от 19.08.2025 объект обладает признаками объекта коммерческого назначения (небольшие оконные проемы, четыре входные группы, общая площадь составляет 298,9</w:t>
      </w:r>
      <w:r>
        <w:rPr>
          <w:rFonts w:ascii="Times New Roman" w:hAnsi="Times New Roman"/>
          <w:sz w:val="28"/>
        </w:rPr>
        <w:t xml:space="preserve"> кв.м), руководствуясь Уставом города Магнитогорска,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76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Отказать в предоставлении разрешения </w:t>
      </w:r>
      <w:r>
        <w:rPr>
          <w:rFonts w:ascii="Times New Roman" w:hAnsi="Times New Roman"/>
          <w:sz w:val="28"/>
        </w:rPr>
        <w:t xml:space="preserve">на отклонение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предельных параметров разрешенного строительства, реконструкции объекта капитального строительства (увеличение площади </w:t>
      </w:r>
      <w:r>
        <w:rPr>
          <w:rFonts w:ascii="Times New Roman" w:hAnsi="Times New Roman"/>
          <w:sz w:val="28"/>
        </w:rPr>
        <w:t>территории, предназначенных для хранения транспортных средств до 23%)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74:33:1335001:1554, расположенно</w:t>
      </w:r>
      <w:r>
        <w:rPr>
          <w:rFonts w:ascii="Times New Roman" w:hAnsi="Times New Roman"/>
          <w:sz w:val="28"/>
        </w:rPr>
        <w:t>м: Российская Федерация, Челябинская область, городской округ Магнитогорский, город Магнитогорск, улица Сельская, земельный участок 54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numPr>
          <w:ilvl w:val="0"/>
          <w:numId w:val="2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в газете «Магнитогорский </w:t>
      </w:r>
      <w:r>
        <w:rPr>
          <w:rFonts w:ascii="Times New Roman" w:hAnsi="Times New Roman"/>
          <w:sz w:val="28"/>
        </w:rPr>
        <w:t xml:space="preserve">рабочий» и разместить на официальном сайте администрации города Магнитогорска в сети 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1000000">
      <w:pPr>
        <w:numPr>
          <w:ilvl w:val="0"/>
          <w:numId w:val="3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2000000">
      <w:pPr>
        <w:numPr>
          <w:ilvl w:val="0"/>
          <w:numId w:val="4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</w:t>
      </w:r>
      <w:r>
        <w:rPr>
          <w:rFonts w:ascii="Times New Roman" w:hAnsi="Times New Roman"/>
          <w:sz w:val="28"/>
        </w:rPr>
        <w:t>авы города Магнитогорска Хабибуллину Д.Х.</w:t>
      </w:r>
    </w:p>
    <w:p w14:paraId="13000000">
      <w:pPr>
        <w:tabs>
          <w:tab w:leader="none" w:pos="284" w:val="left"/>
          <w:tab w:leader="none" w:pos="1134" w:val="left"/>
          <w:tab w:leader="none" w:pos="6240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  <w:tab w:leader="none" w:pos="6240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  <w:tab w:leader="none" w:pos="6240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                                   А.В. </w:t>
      </w:r>
      <w:r>
        <w:rPr>
          <w:rFonts w:ascii="Times New Roman" w:hAnsi="Times New Roman"/>
          <w:sz w:val="28"/>
        </w:rPr>
        <w:t>Хватков</w:t>
      </w:r>
    </w:p>
    <w:p w14:paraId="18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Вр-2258553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"/>
    <w:basedOn w:val="Style_6"/>
    <w:link w:val="Style_5_ch"/>
    <w:rPr>
      <w:rFonts w:ascii="PT Astra Serif" w:hAnsi="PT Astra Serif"/>
    </w:rPr>
  </w:style>
  <w:style w:styleId="Style_5_ch" w:type="character">
    <w:name w:val="List"/>
    <w:basedOn w:val="Style_6_ch"/>
    <w:link w:val="Style_5"/>
    <w:rPr>
      <w:rFonts w:ascii="PT Astra Serif" w:hAnsi="PT Astra Serif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2" w:type="paragraph">
    <w:name w:val="caption"/>
    <w:basedOn w:val="Style_3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Колонтитул"/>
    <w:basedOn w:val="Style_3"/>
    <w:link w:val="Style_21_ch"/>
  </w:style>
  <w:style w:styleId="Style_21_ch" w:type="character">
    <w:name w:val="Колонтитул"/>
    <w:basedOn w:val="Style_3_ch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6" w:type="paragraph">
    <w:name w:val="Body Text"/>
    <w:basedOn w:val="Style_3"/>
    <w:link w:val="Style_6_ch"/>
    <w:pPr>
      <w:spacing w:after="140"/>
      <w:ind/>
    </w:pPr>
  </w:style>
  <w:style w:styleId="Style_6_ch" w:type="character">
    <w:name w:val="Body Text"/>
    <w:basedOn w:val="Style_3_ch"/>
    <w:link w:val="Style_6"/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3"/>
    <w:next w:val="Style_6"/>
    <w:link w:val="Style_27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Title"/>
    <w:basedOn w:val="Style_3_ch"/>
    <w:link w:val="Style_27"/>
    <w:rPr>
      <w:rFonts w:ascii="PT Astra Serif" w:hAnsi="PT Astra Serif"/>
      <w:sz w:val="28"/>
    </w:rPr>
  </w:style>
  <w:style w:styleId="Style_28" w:type="paragraph">
    <w:name w:val="index heading"/>
    <w:basedOn w:val="Style_3"/>
    <w:link w:val="Style_28_ch"/>
    <w:rPr>
      <w:rFonts w:ascii="PT Astra Serif" w:hAnsi="PT Astra Serif"/>
    </w:rPr>
  </w:style>
  <w:style w:styleId="Style_28_ch" w:type="character">
    <w:name w:val="index heading"/>
    <w:basedOn w:val="Style_3_ch"/>
    <w:link w:val="Style_28"/>
    <w:rPr>
      <w:rFonts w:ascii="PT Astra Serif" w:hAnsi="PT Astra Serif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2025-11-12T09:30:13Z</dcterms:modified>
</cp:coreProperties>
</file>