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numPr>
          <w:ilvl w:val="0"/>
          <w:numId w:val="0"/>
        </w:numPr>
        <w:ind w:firstLine="10348" w:left="0" w:right="-31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4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11.11.2025 № 9524-П</w:t>
      </w:r>
    </w:p>
    <w:p w14:paraId="07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</w:p>
    <w:p w14:paraId="08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9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«Развитие городского пассажирского транспорта</w:t>
      </w:r>
    </w:p>
    <w:p w14:paraId="0B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2025-2030 годы</w:t>
      </w:r>
    </w:p>
    <w:p w14:paraId="0C000000">
      <w:pPr>
        <w:pStyle w:val="Style_3"/>
        <w:widowControl w:val="0"/>
        <w:spacing w:after="0" w:before="0" w:line="240" w:lineRule="auto"/>
        <w:ind w:firstLine="10348" w:left="0" w:right="-31"/>
        <w:rPr>
          <w:rFonts w:ascii="Times New Roman" w:hAnsi="Times New Roman"/>
        </w:rPr>
      </w:pPr>
    </w:p>
    <w:p w14:paraId="0D000000">
      <w:pPr>
        <w:pStyle w:val="Style_2"/>
        <w:ind w:firstLine="10348" w:left="0" w:right="0"/>
        <w:rPr>
          <w:rFonts w:ascii="Times New Roman" w:hAnsi="Times New Roman"/>
        </w:rPr>
      </w:pPr>
    </w:p>
    <w:p w14:paraId="0E000000">
      <w:pPr>
        <w:pStyle w:val="Style_2"/>
        <w:ind/>
        <w:jc w:val="center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0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«Комплексное развитие городского пассажирского транспорта в городе Магнитогорске» </w:t>
      </w:r>
    </w:p>
    <w:p w14:paraId="1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12000000">
      <w:pPr>
        <w:pStyle w:val="Style_2"/>
        <w:ind/>
        <w:jc w:val="both"/>
        <w:rPr>
          <w:rFonts w:ascii="Times New Roman" w:hAnsi="Times New Roman"/>
        </w:rPr>
      </w:pPr>
    </w:p>
    <w:p w14:paraId="13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9"/>
        <w:gridCol w:w="8896"/>
      </w:tblGrid>
      <w:tr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17000000">
      <w:pPr>
        <w:pStyle w:val="Style_2"/>
        <w:ind/>
        <w:jc w:val="both"/>
        <w:rPr>
          <w:rFonts w:ascii="Times New Roman" w:hAnsi="Times New Roman"/>
        </w:rPr>
      </w:pPr>
    </w:p>
    <w:p w14:paraId="18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9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27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0"/>
        <w:gridCol w:w="3262"/>
        <w:gridCol w:w="1262"/>
        <w:gridCol w:w="1618"/>
        <w:gridCol w:w="1314"/>
        <w:gridCol w:w="1312"/>
        <w:gridCol w:w="1462"/>
        <w:gridCol w:w="1460"/>
        <w:gridCol w:w="1312"/>
        <w:gridCol w:w="1272"/>
      </w:tblGrid>
      <w:tr>
        <w:tc>
          <w:tcPr>
            <w:tcW w:type="dxa" w:w="4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2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6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13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27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Пробег подвижного состава городского наземного электрического транспорта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километров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6 974.59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6 571.69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6 571.69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6 571.69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6 571.69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6 571.69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6 571.69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Общее количество пассажиро-поездок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8 956.94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9 626.16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9 626.16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9 626.16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9 626.16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9 626.16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9 626.16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транспортом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4 048.67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4 007.42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4 007.42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4 007.42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4 007.42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4 007.42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4 007.42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наземным электрическим транспортом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6 633.12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6 652.62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6 652.62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6 652.62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6 652.62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6 652.62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6 652.62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Пробег подвижного состава автомобильного транспорта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километров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615.66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2 840.06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2 840.06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2 840.06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2 840.06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2 840.06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2 840.06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Общее количество пассажиро-поездок перевезенных граждан автомобильным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448.91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1 723.47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1 723.47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1 723.47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1 723.47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1 723.47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1 723.47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234.91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636.63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636.63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636.63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636.63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636.63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636.63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автомобильным транспортом по регулируемым тарифам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245.57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814.90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814.90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814.90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814.90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814.90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814.90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бесплатно перевезенных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595.01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504.00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</w:tr>
      <w:tr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10.</w:t>
            </w:r>
          </w:p>
        </w:tc>
        <w:tc>
          <w:tcPr>
            <w:tcW w:type="dxa" w:w="3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нерегулируемым тарифам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23.40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36.00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  <w:tc>
          <w:tcPr>
            <w:tcW w:type="dxa" w:w="1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  <w:tc>
          <w:tcPr>
            <w:tcW w:type="dxa" w:w="1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</w:tr>
    </w:tbl>
    <w:p w14:paraId="9B000000">
      <w:pPr>
        <w:pStyle w:val="Style_2"/>
        <w:ind/>
        <w:jc w:val="both"/>
        <w:rPr>
          <w:rFonts w:ascii="Times New Roman" w:hAnsi="Times New Roman"/>
        </w:rPr>
      </w:pPr>
      <w:r>
        <w:br w:type="page"/>
      </w:r>
    </w:p>
    <w:p w14:paraId="9C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9D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4"/>
        <w:gridCol w:w="2693"/>
        <w:gridCol w:w="993"/>
        <w:gridCol w:w="709"/>
        <w:gridCol w:w="850"/>
        <w:gridCol w:w="851"/>
        <w:gridCol w:w="965"/>
        <w:gridCol w:w="773"/>
        <w:gridCol w:w="774"/>
        <w:gridCol w:w="774"/>
        <w:gridCol w:w="772"/>
        <w:gridCol w:w="773"/>
        <w:gridCol w:w="980"/>
        <w:gridCol w:w="851"/>
        <w:gridCol w:w="1560"/>
      </w:tblGrid>
      <w:tr>
        <w:tc>
          <w:tcPr>
            <w:tcW w:type="dxa" w:w="4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9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907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</w:t>
            </w:r>
          </w:p>
          <w:p w14:paraId="A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4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14742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Пробег подвижного состава городского наземного электрического транспорта по маршрутам регулярных перевозок по регулируемым тарифам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километров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6 571.69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Общее количество пассажиро-поездок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9 626.16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транспортом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4 007.42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наземным электрическим транспортом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6 652.62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Пробег подвижного состава автомобильного транспорта по маршрутам регулярных перевозок по регулируемым тарифам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километров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2 840.06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Общее количество пассажиро-поездок перевезенных граждан автомобильным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1 723.47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регулируемым тарифам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636.63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автомобильным транспортом по регулируемым тарифам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814.90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бесплатно перевезенных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504.00</w:t>
            </w:r>
          </w:p>
        </w:tc>
      </w:tr>
      <w:t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нерегулируемым тарифам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36.00</w:t>
            </w:r>
          </w:p>
        </w:tc>
      </w:tr>
    </w:tbl>
    <w:p w14:paraId="57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 xml:space="preserve">4. Мероприятия (результаты) комплекса процессных мероприятий </w:t>
      </w:r>
    </w:p>
    <w:p w14:paraId="5801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left"/>
        <w:tblInd w:type="dxa" w:w="13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9"/>
        <w:gridCol w:w="2270"/>
        <w:gridCol w:w="1278"/>
        <w:gridCol w:w="2266"/>
        <w:gridCol w:w="1700"/>
        <w:gridCol w:w="1135"/>
        <w:gridCol w:w="1132"/>
        <w:gridCol w:w="1132"/>
        <w:gridCol w:w="1278"/>
        <w:gridCol w:w="1275"/>
        <w:gridCol w:w="1140"/>
      </w:tblGrid>
      <w:tr>
        <w:tc>
          <w:tcPr>
            <w:tcW w:type="dxa" w:w="5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2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2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9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1885"/>
        </w:trPr>
        <w:tc>
          <w:tcPr>
            <w:tcW w:type="dxa" w:w="5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6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6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65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6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6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6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517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</w:tr>
      <w:tr>
        <w:trPr>
          <w:trHeight w:hRule="atLeast" w:val="2783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Организованы перевозки пассажиров и багажа 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Перевозка пассажиров  и багажа 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19 638.73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widowControl w:val="0"/>
              <w:spacing w:after="0" w:before="0"/>
              <w:ind w:hanging="67" w:left="67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20 286.20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20 286.20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20 286.20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20 286.20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20 286.20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20 286.20</w:t>
            </w:r>
          </w:p>
        </w:tc>
      </w:tr>
      <w:tr>
        <w:trPr>
          <w:trHeight w:hRule="atLeast" w:val="2783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1"/>
              </w:rPr>
              <w:t>1.2.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Организованы</w:t>
            </w:r>
          </w:p>
          <w:p w14:paraId="84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перевозки пассажиров и багажа 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Перевозка пассажиров и багажа 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929.38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3 175.00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3 175.00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3 175.00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3 175.00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3 175.00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3 175.00</w:t>
            </w:r>
          </w:p>
        </w:tc>
      </w:tr>
      <w:t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1"/>
              </w:rPr>
              <w:t>1.3.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Организовано предоставление льготного проезда гражданам,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Предоставлен льготный проезд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595.01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504.00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630.00</w:t>
            </w:r>
          </w:p>
        </w:tc>
      </w:tr>
      <w:t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1"/>
              </w:rPr>
              <w:t>1.4.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Организовано предоставление льготного проезда студентам и учащимся, обучающимся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Тысяча единиц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Предоставлен льготный проезд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23.40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36.00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27.00</w:t>
            </w:r>
          </w:p>
        </w:tc>
      </w:tr>
    </w:tbl>
    <w:p w14:paraId="A401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2" w:name="P2436"/>
      <w:bookmarkEnd w:id="2"/>
    </w:p>
    <w:p w14:paraId="A5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A601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left"/>
        <w:tblInd w:type="dxa" w:w="27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956"/>
        <w:gridCol w:w="1428"/>
        <w:gridCol w:w="1417"/>
        <w:gridCol w:w="1416"/>
        <w:gridCol w:w="1418"/>
        <w:gridCol w:w="1698"/>
        <w:gridCol w:w="1872"/>
        <w:gridCol w:w="1745"/>
      </w:tblGrid>
      <w:tr>
        <w:trPr>
          <w:trHeight w:hRule="atLeast" w:val="228"/>
        </w:trPr>
        <w:tc>
          <w:tcPr>
            <w:tcW w:type="dxa" w:w="39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99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39"/>
        </w:trPr>
        <w:tc>
          <w:tcPr>
            <w:tcW w:type="dxa" w:w="39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rPr>
          <w:trHeight w:hRule="atLeast" w:val="228"/>
        </w:trPr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</w:tr>
      <w:tr>
        <w:trPr>
          <w:trHeight w:hRule="atLeast" w:val="456"/>
        </w:trPr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311 008.20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1 016 463.94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1 088 750.15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1 564 549.66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1 618 043.54</w:t>
            </w:r>
          </w:p>
        </w:tc>
        <w:tc>
          <w:tcPr>
            <w:tcW w:type="dxa" w:w="1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1 676 508.19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8 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275 323.68</w:t>
            </w:r>
          </w:p>
        </w:tc>
      </w:tr>
      <w:tr>
        <w:trPr>
          <w:trHeight w:hRule="atLeast" w:val="228"/>
        </w:trPr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223 187.62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170 998.66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170 998.66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170 998.66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170 998.66</w:t>
            </w:r>
          </w:p>
        </w:tc>
        <w:tc>
          <w:tcPr>
            <w:tcW w:type="dxa" w:w="1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170 998.66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1 078 180.92</w:t>
            </w:r>
          </w:p>
        </w:tc>
      </w:tr>
      <w:tr>
        <w:trPr>
          <w:trHeight w:hRule="atLeast" w:val="217"/>
        </w:trPr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1 0</w:t>
            </w:r>
            <w:r>
              <w:rPr>
                <w:rFonts w:ascii="PT Astra Serif" w:hAnsi="PT Astra Serif"/>
              </w:rPr>
              <w:t>87 820.58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845 465.28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917 751.49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1 393 551.00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1 447 044.88</w:t>
            </w:r>
          </w:p>
        </w:tc>
        <w:tc>
          <w:tcPr>
            <w:tcW w:type="dxa" w:w="1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1 505 509.53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7 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197 142.76</w:t>
            </w:r>
          </w:p>
        </w:tc>
      </w:tr>
      <w:tr>
        <w:trPr>
          <w:trHeight w:hRule="atLeast" w:val="228"/>
        </w:trPr>
        <w:tc>
          <w:tcPr>
            <w:tcW w:type="dxa" w:w="3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</w:tbl>
    <w:p w14:paraId="E001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E101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E201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0"/>
        <w:gridCol w:w="9174"/>
        <w:gridCol w:w="1409"/>
        <w:gridCol w:w="1832"/>
        <w:gridCol w:w="1834"/>
      </w:tblGrid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№</w:t>
            </w:r>
          </w:p>
          <w:p w14:paraId="E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Тип мероприятия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Дата наступления контрольной точки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73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F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Организованы перевозки пассажиров и багажа 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</w:t>
            </w:r>
          </w:p>
          <w:p w14:paraId="F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Контрольные точки не установлены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2</w:t>
            </w:r>
          </w:p>
          <w:p w14:paraId="F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Организованы перевозки пассажиров и багажа 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</w:t>
            </w:r>
          </w:p>
          <w:p w14:paraId="0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Контрольные точки не установлены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3</w:t>
            </w:r>
          </w:p>
          <w:p w14:paraId="0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Организовано предоставление льготного проезда гражданам,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1.3</w:t>
            </w:r>
          </w:p>
          <w:p w14:paraId="0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Контрольные точки не установлены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</w:t>
            </w: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4</w:t>
            </w:r>
          </w:p>
          <w:p w14:paraId="1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Организовано предоставление льготного проезда студентам и учащимся, обучающимся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9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1.4</w:t>
            </w:r>
          </w:p>
          <w:p w14:paraId="1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Контрольные точки не установлены</w:t>
            </w:r>
          </w:p>
        </w:tc>
        <w:tc>
          <w:tcPr>
            <w:tcW w:type="dxa" w:w="1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1F020000">
      <w:pPr>
        <w:pStyle w:val="Style_2"/>
        <w:rPr>
          <w:rFonts w:ascii="Times New Roman" w:hAnsi="Times New Roman"/>
        </w:rPr>
      </w:pPr>
    </w:p>
    <w:p w14:paraId="20020000">
      <w:pPr>
        <w:pStyle w:val="Style_2"/>
        <w:rPr>
          <w:rFonts w:ascii="Times New Roman" w:hAnsi="Times New Roman"/>
        </w:rPr>
      </w:pPr>
    </w:p>
    <w:p w14:paraId="21020000">
      <w:pPr>
        <w:pStyle w:val="Style_2"/>
        <w:rPr>
          <w:rFonts w:ascii="Times New Roman" w:hAnsi="Times New Roman"/>
        </w:rPr>
      </w:pPr>
      <w:r>
        <w:br w:type="page"/>
      </w:r>
    </w:p>
    <w:p w14:paraId="22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3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4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«Комплексное развитие транспортной инфраструктуры города Магнитогорска» </w:t>
      </w:r>
    </w:p>
    <w:p w14:paraId="25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26020000">
      <w:pPr>
        <w:pStyle w:val="Style_2"/>
        <w:ind/>
        <w:jc w:val="both"/>
        <w:rPr>
          <w:rFonts w:ascii="Times New Roman" w:hAnsi="Times New Roman"/>
        </w:rPr>
      </w:pPr>
    </w:p>
    <w:p w14:paraId="2702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28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28"/>
        <w:gridCol w:w="7553"/>
      </w:tblGrid>
      <w:tr>
        <w:trPr>
          <w:trHeight w:hRule="atLeast" w:val="528"/>
        </w:trPr>
        <w:tc>
          <w:tcPr>
            <w:tcW w:type="dxa" w:w="7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2B020000">
      <w:pPr>
        <w:pStyle w:val="Style_2"/>
        <w:ind/>
        <w:jc w:val="both"/>
        <w:rPr>
          <w:rFonts w:ascii="Times New Roman" w:hAnsi="Times New Roman"/>
        </w:rPr>
      </w:pPr>
    </w:p>
    <w:p w14:paraId="2C02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2D02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2916"/>
        <w:gridCol w:w="1286"/>
        <w:gridCol w:w="1648"/>
        <w:gridCol w:w="1339"/>
        <w:gridCol w:w="1335"/>
        <w:gridCol w:w="1489"/>
        <w:gridCol w:w="1485"/>
        <w:gridCol w:w="1336"/>
        <w:gridCol w:w="1302"/>
      </w:tblGrid>
      <w:tr>
        <w:trPr>
          <w:trHeight w:hRule="atLeast" w:val="355"/>
        </w:trPr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2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9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6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28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1439"/>
        </w:trPr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3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3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3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3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3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3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atLeast" w:val="269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6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</w:tr>
      <w:tr>
        <w:trPr>
          <w:trHeight w:hRule="atLeast" w:val="259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13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755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2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обустроенных объектов транспортной инфраструктуры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16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4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</w:tbl>
    <w:p w14:paraId="56020000">
      <w:pPr>
        <w:pStyle w:val="Style_2"/>
        <w:ind/>
        <w:jc w:val="both"/>
        <w:rPr>
          <w:rFonts w:ascii="Times New Roman" w:hAnsi="Times New Roman"/>
        </w:rPr>
      </w:pPr>
      <w:r>
        <w:br w:type="page"/>
      </w:r>
    </w:p>
    <w:p w14:paraId="57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5802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56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6"/>
        <w:gridCol w:w="2671"/>
        <w:gridCol w:w="1155"/>
        <w:gridCol w:w="850"/>
        <w:gridCol w:w="645"/>
        <w:gridCol w:w="882"/>
        <w:gridCol w:w="1004"/>
        <w:gridCol w:w="802"/>
        <w:gridCol w:w="804"/>
        <w:gridCol w:w="804"/>
        <w:gridCol w:w="803"/>
        <w:gridCol w:w="804"/>
        <w:gridCol w:w="802"/>
        <w:gridCol w:w="806"/>
        <w:gridCol w:w="1202"/>
      </w:tblGrid>
      <w:tr>
        <w:trPr>
          <w:trHeight w:hRule="atLeast" w:val="726"/>
        </w:trPr>
        <w:tc>
          <w:tcPr>
            <w:tcW w:type="dxa" w:w="4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5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6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90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</w:t>
            </w:r>
          </w:p>
          <w:p w14:paraId="5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 года</w:t>
            </w:r>
          </w:p>
        </w:tc>
      </w:tr>
      <w:tr>
        <w:trPr>
          <w:trHeight w:hRule="atLeast" w:val="381"/>
        </w:trPr>
        <w:tc>
          <w:tcPr>
            <w:tcW w:type="dxa" w:w="4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1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47"/>
        </w:trP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rPr>
          <w:trHeight w:hRule="atLeast" w:val="247"/>
        </w:trPr>
        <w:tc>
          <w:tcPr>
            <w:tcW w:type="dxa" w:w="14460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721"/>
        </w:trP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обустроенных объектов транспортной инфраструктуры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</w:t>
            </w:r>
          </w:p>
        </w:tc>
      </w:tr>
    </w:tbl>
    <w:p w14:paraId="8B020000">
      <w:pPr>
        <w:pStyle w:val="Style_2"/>
        <w:ind/>
        <w:jc w:val="center"/>
        <w:rPr>
          <w:rFonts w:ascii="Times New Roman" w:hAnsi="Times New Roman"/>
        </w:rPr>
      </w:pPr>
    </w:p>
    <w:p w14:paraId="8C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8D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7"/>
        <w:gridCol w:w="2556"/>
        <w:gridCol w:w="1133"/>
        <w:gridCol w:w="2411"/>
        <w:gridCol w:w="1844"/>
        <w:gridCol w:w="1277"/>
        <w:gridCol w:w="993"/>
        <w:gridCol w:w="1133"/>
        <w:gridCol w:w="1136"/>
        <w:gridCol w:w="1135"/>
        <w:gridCol w:w="1138"/>
      </w:tblGrid>
      <w:t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5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4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8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681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53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Повышение доступности и качества услуг пассажирского транспорта для всех категорий граждан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Выполнены работы по созданию, модернизации (реконструкции), ремонту, капитальному ремонту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Создание, модернизация (реконструкция), ремонт, капитальный ремонт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</w:tbl>
    <w:p w14:paraId="B102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B2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302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left"/>
        <w:tblInd w:type="dxa" w:w="5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375"/>
        <w:gridCol w:w="1441"/>
        <w:gridCol w:w="1563"/>
        <w:gridCol w:w="1701"/>
        <w:gridCol w:w="1700"/>
        <w:gridCol w:w="1702"/>
        <w:gridCol w:w="1562"/>
        <w:gridCol w:w="1630"/>
      </w:tblGrid>
      <w:tr>
        <w:trPr>
          <w:trHeight w:hRule="atLeast" w:val="228"/>
        </w:trPr>
        <w:tc>
          <w:tcPr>
            <w:tcW w:type="dxa" w:w="3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129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39"/>
        </w:trPr>
        <w:tc>
          <w:tcPr>
            <w:tcW w:type="dxa" w:w="3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rPr>
          <w:trHeight w:hRule="atLeast" w:val="228"/>
        </w:trPr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</w:tr>
      <w:tr>
        <w:trPr>
          <w:trHeight w:hRule="atLeast" w:val="456"/>
        </w:trPr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 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823.52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70 564.54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70 412.26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80 600.00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80 600.00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80 600.00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471 600</w:t>
            </w:r>
            <w:r>
              <w:rPr>
                <w:rFonts w:ascii="PT Astra Serif" w:hAnsi="PT Astra Serif"/>
              </w:rPr>
              <w:t>.32</w:t>
            </w:r>
          </w:p>
        </w:tc>
      </w:tr>
      <w:tr>
        <w:trPr>
          <w:trHeight w:hRule="atLeast" w:val="228"/>
        </w:trPr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56 140.40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52 329.86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49 322.26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68 510.00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68 510.00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68 510.00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363 322.52</w:t>
            </w:r>
          </w:p>
        </w:tc>
      </w:tr>
      <w:tr>
        <w:trPr>
          <w:trHeight w:hRule="atLeast" w:val="217"/>
        </w:trPr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32 683.12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18 234.68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21 090.00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12 090.00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12 090.00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12 090.00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  <w:r>
              <w:rPr>
                <w:rFonts w:ascii="PT Astra Serif" w:hAnsi="PT Astra Serif"/>
              </w:rPr>
              <w:t>08 277.80</w:t>
            </w:r>
          </w:p>
        </w:tc>
      </w:tr>
      <w:tr>
        <w:trPr>
          <w:trHeight w:hRule="atLeast" w:val="228"/>
        </w:trPr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</w:tbl>
    <w:p w14:paraId="ED020000">
      <w:pPr>
        <w:pStyle w:val="Style_2"/>
        <w:ind/>
        <w:jc w:val="both"/>
        <w:rPr>
          <w:rFonts w:ascii="Times New Roman" w:hAnsi="Times New Roman"/>
        </w:rPr>
      </w:pPr>
    </w:p>
    <w:p w14:paraId="EE020000">
      <w:pPr>
        <w:pStyle w:val="Style_3"/>
        <w:widowControl w:val="0"/>
        <w:spacing w:after="0" w:before="0" w:line="240" w:lineRule="auto"/>
        <w:ind w:firstLine="720" w:left="0" w:right="0"/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6. План по реализации комплекса процессных мероприятий в 2025 году</w:t>
      </w:r>
    </w:p>
    <w:p w14:paraId="EF02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 CYR" w:hAnsi="Times New Roman CYR"/>
          <w:sz w:val="16"/>
        </w:rPr>
      </w:pPr>
    </w:p>
    <w:tbl>
      <w:tblPr>
        <w:tblStyle w:val="Style_4"/>
        <w:tblW w:type="auto" w:w="0"/>
        <w:jc w:val="left"/>
        <w:tblInd w:type="dxa" w:w="56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9"/>
        <w:gridCol w:w="7230"/>
        <w:gridCol w:w="2269"/>
        <w:gridCol w:w="2126"/>
        <w:gridCol w:w="2407"/>
      </w:tblGrid>
      <w:tr>
        <w:trPr>
          <w:trHeight w:hRule="atLeast" w:val="493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№</w:t>
            </w:r>
          </w:p>
          <w:p w14:paraId="F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7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rPr>
          <w:trHeight w:hRule="atLeast" w:val="246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rPr>
          <w:trHeight w:hRule="atLeast" w:val="257"/>
        </w:trPr>
        <w:tc>
          <w:tcPr>
            <w:tcW w:type="dxa" w:w="1460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1312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7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F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созданию, модернизации (реконструкции), ремонту, капитальному ремонту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rPr>
          <w:trHeight w:hRule="atLeast" w:val="493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</w:t>
            </w:r>
          </w:p>
          <w:p w14:paraId="0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муниципальных контрактов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rPr>
          <w:trHeight w:hRule="atLeast" w:val="493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</w:t>
            </w:r>
          </w:p>
          <w:p w14:paraId="0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Оплата муниципальных контрактов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Документы </w:t>
            </w:r>
          </w:p>
          <w:p w14:paraId="0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 приемке</w:t>
            </w:r>
          </w:p>
        </w:tc>
      </w:tr>
    </w:tbl>
    <w:p w14:paraId="0F030000">
      <w:pPr>
        <w:pStyle w:val="Style_2"/>
        <w:ind/>
        <w:jc w:val="center"/>
        <w:rPr>
          <w:rFonts w:ascii="Times New Roman" w:hAnsi="Times New Roman"/>
        </w:rPr>
      </w:pPr>
    </w:p>
    <w:p w14:paraId="10030000">
      <w:pPr>
        <w:pStyle w:val="Style_2"/>
        <w:ind/>
        <w:jc w:val="center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ПАСПОРТ</w:t>
      </w:r>
    </w:p>
    <w:p w14:paraId="11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2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000000"/>
        </w:rPr>
        <w:t>Модернизация транспортной системы города Магнитогорс</w:t>
      </w:r>
      <w:r>
        <w:rPr>
          <w:rFonts w:ascii="Times New Roman" w:hAnsi="Times New Roman"/>
        </w:rPr>
        <w:t xml:space="preserve">ка» </w:t>
      </w:r>
    </w:p>
    <w:p w14:paraId="13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14030000">
      <w:pPr>
        <w:pStyle w:val="Style_2"/>
        <w:ind/>
        <w:jc w:val="both"/>
        <w:rPr>
          <w:rFonts w:ascii="Times New Roman" w:hAnsi="Times New Roman"/>
        </w:rPr>
      </w:pPr>
    </w:p>
    <w:p w14:paraId="1503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6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56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46"/>
        <w:gridCol w:w="8275"/>
      </w:tblGrid>
      <w:tr>
        <w:tc>
          <w:tcPr>
            <w:tcW w:type="dxa" w:w="6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1903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p w14:paraId="1A03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B03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27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"/>
        <w:gridCol w:w="3126"/>
        <w:gridCol w:w="1262"/>
        <w:gridCol w:w="1711"/>
        <w:gridCol w:w="1276"/>
        <w:gridCol w:w="1415"/>
        <w:gridCol w:w="1302"/>
        <w:gridCol w:w="1457"/>
        <w:gridCol w:w="1209"/>
        <w:gridCol w:w="1275"/>
      </w:tblGrid>
      <w:tr>
        <w:tc>
          <w:tcPr>
            <w:tcW w:type="dxa" w:w="5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1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793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5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2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3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приобретенных в муниципальную собственность трамвайных вагонов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3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приобретенных в муниципальную собственность автобусов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мероприятий, направленных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</w:tbl>
    <w:p w14:paraId="56030000">
      <w:pPr>
        <w:pStyle w:val="Style_2"/>
        <w:ind/>
        <w:jc w:val="both"/>
        <w:rPr>
          <w:rFonts w:ascii="Times New Roman" w:hAnsi="Times New Roman"/>
        </w:rPr>
      </w:pPr>
    </w:p>
    <w:p w14:paraId="57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58030000">
      <w:pPr>
        <w:pStyle w:val="Style_2"/>
        <w:ind/>
        <w:jc w:val="center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"/>
        <w:gridCol w:w="2693"/>
        <w:gridCol w:w="1133"/>
        <w:gridCol w:w="852"/>
        <w:gridCol w:w="849"/>
        <w:gridCol w:w="852"/>
        <w:gridCol w:w="681"/>
        <w:gridCol w:w="773"/>
        <w:gridCol w:w="775"/>
        <w:gridCol w:w="773"/>
        <w:gridCol w:w="773"/>
        <w:gridCol w:w="773"/>
        <w:gridCol w:w="773"/>
        <w:gridCol w:w="773"/>
        <w:gridCol w:w="1418"/>
      </w:tblGrid>
      <w:tr>
        <w:trPr>
          <w:trHeight w:hRule="atLeast" w:val="583"/>
        </w:trPr>
        <w:tc>
          <w:tcPr>
            <w:tcW w:type="dxa" w:w="4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5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64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</w:t>
            </w:r>
          </w:p>
          <w:p w14:paraId="5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4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143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1054"/>
        </w:trPr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приобретенных в муниципальную собственность трамвайных вагонов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</w:tr>
      <w:tr>
        <w:trPr>
          <w:trHeight w:hRule="atLeast" w:val="875"/>
        </w:trPr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приобретенных в муниципальную собственность автобусов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мероприятий, направленных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них, ед.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</w:tr>
    </w:tbl>
    <w:p w14:paraId="A9030000">
      <w:pPr>
        <w:pStyle w:val="Style_2"/>
        <w:ind/>
        <w:jc w:val="center"/>
        <w:rPr>
          <w:rFonts w:ascii="Times New Roman" w:hAnsi="Times New Roman"/>
        </w:rPr>
      </w:pPr>
    </w:p>
    <w:p w14:paraId="AA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AB03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56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"/>
        <w:gridCol w:w="1669"/>
        <w:gridCol w:w="1250"/>
        <w:gridCol w:w="1668"/>
        <w:gridCol w:w="1948"/>
        <w:gridCol w:w="1098"/>
        <w:gridCol w:w="1095"/>
        <w:gridCol w:w="1162"/>
        <w:gridCol w:w="1072"/>
        <w:gridCol w:w="1392"/>
        <w:gridCol w:w="1280"/>
      </w:tblGrid>
      <w:tr>
        <w:trPr>
          <w:trHeight w:hRule="atLeast" w:val="545"/>
        </w:trPr>
        <w:tc>
          <w:tcPr>
            <w:tcW w:type="dxa" w:w="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A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1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1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9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9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760"/>
        </w:trPr>
        <w:tc>
          <w:tcPr>
            <w:tcW w:type="dxa" w:w="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0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B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B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B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B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atLeast" w:val="386"/>
        </w:trPr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0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rPr>
          <w:trHeight w:hRule="atLeast" w:val="773"/>
        </w:trPr>
        <w:tc>
          <w:tcPr>
            <w:tcW w:type="dxa" w:w="1432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1182"/>
        </w:trPr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Приобретены в муниципальную собственность трамвайные вагоны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Приобретение в муниципальную собственность трамвайных вагонов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0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  <w:tr>
        <w:trPr>
          <w:trHeight w:hRule="atLeast" w:val="1098"/>
        </w:trPr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Приобретены в муниципальную собственность автобусы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Приобретение в муниципальную собственность автобусов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0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  <w:tr>
        <w:trPr>
          <w:trHeight w:hRule="atLeast" w:val="326"/>
        </w:trPr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Реализованы мероприятия,  направленные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Реализация мероприятий, направленных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  <w:p w14:paraId="E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0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</w:tbl>
    <w:p w14:paraId="EB030000">
      <w:pPr>
        <w:pStyle w:val="Style_2"/>
        <w:ind/>
        <w:jc w:val="center"/>
        <w:rPr>
          <w:rFonts w:ascii="Times New Roman" w:hAnsi="Times New Roman"/>
        </w:rPr>
      </w:pPr>
    </w:p>
    <w:p w14:paraId="EC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ED03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5"/>
        <w:tblW w:type="auto" w:w="0"/>
        <w:jc w:val="left"/>
        <w:tblInd w:type="dxa" w:w="55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972"/>
        <w:gridCol w:w="1273"/>
        <w:gridCol w:w="1558"/>
        <w:gridCol w:w="1419"/>
        <w:gridCol w:w="1561"/>
        <w:gridCol w:w="1418"/>
        <w:gridCol w:w="1558"/>
        <w:gridCol w:w="1559"/>
      </w:tblGrid>
      <w:tr>
        <w:trPr>
          <w:trHeight w:hRule="atLeast" w:val="226"/>
        </w:trPr>
        <w:tc>
          <w:tcPr>
            <w:tcW w:type="dxa" w:w="39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34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37"/>
        </w:trPr>
        <w:tc>
          <w:tcPr>
            <w:tcW w:type="dxa" w:w="39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rPr>
          <w:trHeight w:hRule="atLeast" w:val="226"/>
        </w:trPr>
        <w:tc>
          <w:tcPr>
            <w:tcW w:type="dxa" w:w="3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</w:tr>
      <w:tr>
        <w:trPr>
          <w:trHeight w:hRule="atLeast" w:val="453"/>
        </w:trPr>
        <w:tc>
          <w:tcPr>
            <w:tcW w:type="dxa" w:w="3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641 387.38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641 387.38</w:t>
            </w:r>
          </w:p>
        </w:tc>
      </w:tr>
      <w:tr>
        <w:trPr>
          <w:trHeight w:hRule="atLeast" w:val="226"/>
        </w:trPr>
        <w:tc>
          <w:tcPr>
            <w:tcW w:type="dxa" w:w="3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  <w:tr>
        <w:trPr>
          <w:trHeight w:hRule="atLeast" w:val="226"/>
        </w:trPr>
        <w:tc>
          <w:tcPr>
            <w:tcW w:type="dxa" w:w="3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  <w:tr>
        <w:trPr>
          <w:trHeight w:hRule="atLeast" w:val="215"/>
        </w:trPr>
        <w:tc>
          <w:tcPr>
            <w:tcW w:type="dxa" w:w="3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641 387.38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641 387.38</w:t>
            </w:r>
          </w:p>
        </w:tc>
      </w:tr>
      <w:tr>
        <w:trPr>
          <w:trHeight w:hRule="atLeast" w:val="226"/>
        </w:trPr>
        <w:tc>
          <w:tcPr>
            <w:tcW w:type="dxa" w:w="3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</w:tbl>
    <w:p w14:paraId="27040000">
      <w:pPr>
        <w:pStyle w:val="Style_2"/>
        <w:ind/>
        <w:jc w:val="both"/>
        <w:rPr>
          <w:rFonts w:ascii="Times New Roman" w:hAnsi="Times New Roman"/>
        </w:rPr>
      </w:pPr>
    </w:p>
    <w:p w14:paraId="28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6.План по реализации комплекса процессных мероприятий в 2025 году</w:t>
      </w:r>
    </w:p>
    <w:p w14:paraId="2904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56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10"/>
        <w:gridCol w:w="6952"/>
        <w:gridCol w:w="2696"/>
        <w:gridCol w:w="1980"/>
        <w:gridCol w:w="1979"/>
      </w:tblGrid>
      <w:tr>
        <w:trPr>
          <w:trHeight w:hRule="atLeast" w:val="470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№</w:t>
            </w:r>
          </w:p>
          <w:p w14:paraId="2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Тип мероприятия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Дата наступления контрольной точки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Вид подтверждающего документа </w:t>
            </w:r>
          </w:p>
        </w:tc>
      </w:tr>
      <w:tr>
        <w:trPr>
          <w:trHeight w:hRule="atLeast" w:val="257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rPr>
          <w:trHeight w:hRule="atLeast" w:val="515"/>
        </w:trPr>
        <w:tc>
          <w:tcPr>
            <w:tcW w:type="dxa" w:w="14317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537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3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Приобретены в муниципальную собственность трамвайные вагоны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rPr>
          <w:trHeight w:hRule="atLeast" w:val="515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</w:t>
            </w:r>
          </w:p>
          <w:p w14:paraId="3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муниципальных контрактов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</w:t>
            </w:r>
          </w:p>
          <w:p w14:paraId="4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Оплата муниципальных контрактов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Документы </w:t>
            </w:r>
          </w:p>
          <w:p w14:paraId="4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 приемке</w:t>
            </w:r>
          </w:p>
        </w:tc>
      </w:tr>
      <w:tr>
        <w:trPr>
          <w:trHeight w:hRule="atLeast" w:val="485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4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Приобретены в муниципальную собственность автобусы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rPr>
          <w:trHeight w:hRule="atLeast" w:val="515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</w:t>
            </w:r>
          </w:p>
          <w:p w14:paraId="5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муниципальных контрактов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</w:t>
            </w:r>
          </w:p>
          <w:p w14:paraId="5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Оплата муниципальных контрактов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Документы </w:t>
            </w:r>
          </w:p>
          <w:p w14:paraId="5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 приемке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5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Реализованы мероприятия,  направленные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</w:t>
            </w:r>
          </w:p>
          <w:p w14:paraId="6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муниципальных контрактов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9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</w:t>
            </w:r>
          </w:p>
          <w:p w14:paraId="6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Оплата муниципальных контрактов</w:t>
            </w:r>
          </w:p>
        </w:tc>
        <w:tc>
          <w:tcPr>
            <w:tcW w:type="dxa" w:w="2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Документы </w:t>
            </w:r>
          </w:p>
          <w:p w14:paraId="6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 приемке</w:t>
            </w:r>
          </w:p>
        </w:tc>
      </w:tr>
    </w:tbl>
    <w:p w14:paraId="6F040000">
      <w:pPr>
        <w:pStyle w:val="Style_2"/>
        <w:ind/>
        <w:jc w:val="center"/>
        <w:rPr>
          <w:rFonts w:ascii="Times New Roman" w:hAnsi="Times New Roman"/>
        </w:rPr>
      </w:pPr>
      <w:r>
        <w:br w:type="page"/>
      </w:r>
    </w:p>
    <w:p w14:paraId="70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1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2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«Обеспечение деятельности Управления транспорта и коммунального хозяйства администрации города Магнитогорска» </w:t>
      </w:r>
    </w:p>
    <w:p w14:paraId="73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74040000">
      <w:pPr>
        <w:pStyle w:val="Style_2"/>
        <w:ind/>
        <w:jc w:val="both"/>
        <w:rPr>
          <w:rFonts w:ascii="Times New Roman" w:hAnsi="Times New Roman"/>
        </w:rPr>
      </w:pPr>
    </w:p>
    <w:p w14:paraId="7504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6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20"/>
        <w:gridCol w:w="7937"/>
      </w:tblGrid>
      <w:tr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7904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p w14:paraId="7A04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B04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13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4"/>
        <w:gridCol w:w="3260"/>
        <w:gridCol w:w="1262"/>
        <w:gridCol w:w="1619"/>
        <w:gridCol w:w="1315"/>
        <w:gridCol w:w="1311"/>
        <w:gridCol w:w="1461"/>
        <w:gridCol w:w="1458"/>
        <w:gridCol w:w="1313"/>
        <w:gridCol w:w="1272"/>
      </w:tblGrid>
      <w:tr>
        <w:tc>
          <w:tcPr>
            <w:tcW w:type="dxa" w:w="5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7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2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813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5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8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8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8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8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8B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8C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27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 рублей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31 256.38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46 002.87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38 427.17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38 466.24</w:t>
            </w:r>
          </w:p>
        </w:tc>
        <w:tc>
          <w:tcPr>
            <w:tcW w:type="dxa" w:w="1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53 050.34</w:t>
            </w:r>
          </w:p>
        </w:tc>
        <w:tc>
          <w:tcPr>
            <w:tcW w:type="dxa" w:w="1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54 566.46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56 391.81</w:t>
            </w:r>
          </w:p>
        </w:tc>
      </w:tr>
    </w:tbl>
    <w:p w14:paraId="A4040000">
      <w:pPr>
        <w:pStyle w:val="Style_2"/>
        <w:ind/>
        <w:jc w:val="both"/>
        <w:rPr>
          <w:rFonts w:ascii="Times New Roman" w:hAnsi="Times New Roman"/>
        </w:rPr>
      </w:pPr>
    </w:p>
    <w:p w14:paraId="A5040000">
      <w:pPr>
        <w:pStyle w:val="Style_2"/>
        <w:ind/>
        <w:jc w:val="both"/>
        <w:rPr>
          <w:rFonts w:ascii="Times New Roman" w:hAnsi="Times New Roman"/>
        </w:rPr>
      </w:pPr>
      <w:bookmarkStart w:id="3" w:name="_GoBack"/>
      <w:bookmarkEnd w:id="3"/>
      <w:r>
        <w:br w:type="page"/>
      </w:r>
    </w:p>
    <w:p w14:paraId="A6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A704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"/>
        <w:gridCol w:w="3119"/>
        <w:gridCol w:w="1134"/>
        <w:gridCol w:w="708"/>
        <w:gridCol w:w="710"/>
        <w:gridCol w:w="708"/>
        <w:gridCol w:w="708"/>
        <w:gridCol w:w="709"/>
        <w:gridCol w:w="850"/>
        <w:gridCol w:w="710"/>
        <w:gridCol w:w="709"/>
        <w:gridCol w:w="850"/>
        <w:gridCol w:w="851"/>
        <w:gridCol w:w="850"/>
        <w:gridCol w:w="1418"/>
      </w:tblGrid>
      <w:tr>
        <w:tc>
          <w:tcPr>
            <w:tcW w:type="dxa" w:w="5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A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36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</w:t>
            </w:r>
          </w:p>
          <w:p w14:paraId="A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5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14600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 рублей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46 002.87</w:t>
            </w:r>
          </w:p>
        </w:tc>
      </w:tr>
    </w:tbl>
    <w:p w14:paraId="DA040000">
      <w:pPr>
        <w:pStyle w:val="Style_2"/>
        <w:ind/>
        <w:jc w:val="center"/>
        <w:rPr>
          <w:rFonts w:ascii="Times New Roman" w:hAnsi="Times New Roman"/>
        </w:rPr>
      </w:pPr>
    </w:p>
    <w:p w14:paraId="DB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DC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13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1693"/>
        <w:gridCol w:w="1230"/>
        <w:gridCol w:w="2455"/>
        <w:gridCol w:w="1557"/>
        <w:gridCol w:w="1274"/>
        <w:gridCol w:w="1151"/>
        <w:gridCol w:w="1276"/>
        <w:gridCol w:w="1274"/>
        <w:gridCol w:w="1277"/>
        <w:gridCol w:w="1129"/>
      </w:tblGrid>
      <w:tr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D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2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7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E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E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EA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EC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ED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EE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502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Обеспечена деятельность Управления транспорта и коммунального хозяйства администрации города Магнитогорска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Тысяч рублей</w:t>
            </w:r>
          </w:p>
        </w:tc>
        <w:tc>
          <w:tcPr>
            <w:tcW w:type="dxa" w:w="2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Обеспечение функционирования деятельности Управления транспорта и коммунального хозяйства администрации города Магнитогорска 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31 256.38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46 002.87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38 427.17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38 466.24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53 050.34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54 566.46</w:t>
            </w:r>
          </w:p>
        </w:tc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56 391.81</w:t>
            </w:r>
          </w:p>
        </w:tc>
      </w:tr>
    </w:tbl>
    <w:p w14:paraId="07050000">
      <w:pPr>
        <w:pStyle w:val="Style_2"/>
        <w:ind/>
        <w:jc w:val="center"/>
        <w:rPr>
          <w:rFonts w:ascii="Times New Roman" w:hAnsi="Times New Roman"/>
        </w:rPr>
      </w:pPr>
    </w:p>
    <w:p w14:paraId="0805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0905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5"/>
        <w:tblW w:type="auto" w:w="0"/>
        <w:jc w:val="left"/>
        <w:tblInd w:type="dxa" w:w="4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820"/>
        <w:gridCol w:w="1564"/>
        <w:gridCol w:w="1417"/>
        <w:gridCol w:w="1420"/>
        <w:gridCol w:w="1274"/>
        <w:gridCol w:w="1137"/>
        <w:gridCol w:w="1493"/>
        <w:gridCol w:w="1450"/>
      </w:tblGrid>
      <w:tr>
        <w:trPr>
          <w:trHeight w:hRule="atLeast" w:val="247"/>
        </w:trPr>
        <w:tc>
          <w:tcPr>
            <w:tcW w:type="dxa" w:w="4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75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58"/>
        </w:trPr>
        <w:tc>
          <w:tcPr>
            <w:tcW w:type="dxa" w:w="4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rPr>
          <w:trHeight w:hRule="atLeast" w:val="247"/>
        </w:trP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</w:tr>
      <w:tr>
        <w:trPr>
          <w:trHeight w:hRule="atLeast" w:val="494"/>
        </w:trP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46 002.87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38 427.17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38 466.24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53 050.34</w:t>
            </w:r>
          </w:p>
        </w:tc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54 566.46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56 391.81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286 904.89</w:t>
            </w:r>
          </w:p>
        </w:tc>
      </w:tr>
      <w:tr>
        <w:trPr>
          <w:trHeight w:hRule="atLeast" w:val="247"/>
        </w:trP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  <w:tr>
        <w:trPr>
          <w:trHeight w:hRule="atLeast" w:val="247"/>
        </w:trP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529.84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529.85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529.84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529.84</w:t>
            </w:r>
          </w:p>
        </w:tc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529.84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529.84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3 179.05</w:t>
            </w:r>
          </w:p>
        </w:tc>
      </w:tr>
      <w:tr>
        <w:trPr>
          <w:trHeight w:hRule="atLeast" w:val="235"/>
        </w:trP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45 473.03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37 897.32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37 936.40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52 520.50</w:t>
            </w:r>
          </w:p>
        </w:tc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54 036.62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55 861.97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283 725.84</w:t>
            </w:r>
          </w:p>
        </w:tc>
      </w:tr>
      <w:tr>
        <w:trPr>
          <w:trHeight w:hRule="atLeast" w:val="247"/>
        </w:trP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5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0.00</w:t>
            </w:r>
          </w:p>
        </w:tc>
      </w:tr>
    </w:tbl>
    <w:p w14:paraId="43050000">
      <w:pPr>
        <w:pStyle w:val="Style_2"/>
        <w:ind/>
        <w:jc w:val="both"/>
        <w:rPr>
          <w:rFonts w:ascii="Times New Roman" w:hAnsi="Times New Roman"/>
          <w:strike w:val="1"/>
        </w:rPr>
      </w:pPr>
    </w:p>
    <w:p w14:paraId="4405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 CYR" w:hAnsi="Times New Roman CYR"/>
          <w:sz w:val="24"/>
        </w:rPr>
      </w:pPr>
      <w:r>
        <w:rPr>
          <w:rFonts w:ascii="Times New Roman" w:hAnsi="Times New Roman"/>
        </w:rPr>
        <w:t>6. План по реализации комплекса процессных мероприятий в 2025 году</w:t>
      </w:r>
    </w:p>
    <w:p w14:paraId="4505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 CYR" w:hAnsi="Times New Roman CYR"/>
          <w:sz w:val="24"/>
        </w:rPr>
      </w:pPr>
    </w:p>
    <w:tbl>
      <w:tblPr>
        <w:tblStyle w:val="Style_4"/>
        <w:tblW w:type="auto" w:w="0"/>
        <w:jc w:val="left"/>
        <w:tblInd w:type="dxa" w:w="42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2"/>
        <w:gridCol w:w="7141"/>
        <w:gridCol w:w="2126"/>
        <w:gridCol w:w="2269"/>
        <w:gridCol w:w="2514"/>
      </w:tblGrid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№</w:t>
            </w:r>
          </w:p>
          <w:p w14:paraId="47050000">
            <w:pPr>
              <w:pStyle w:val="Style_3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7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6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7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 1</w:t>
            </w:r>
          </w:p>
          <w:p w14:paraId="5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Обеспечена деятельность Управления транспорта и коммунального хозяйства администрации города Магнитогорска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7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</w:t>
            </w:r>
          </w:p>
          <w:p w14:paraId="5A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Контрольные точки не установлены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5E05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5F050000">
      <w:pPr>
        <w:pStyle w:val="Style_2"/>
        <w:rPr>
          <w:rFonts w:ascii="Times New Roman" w:hAnsi="Times New Roman"/>
        </w:rPr>
      </w:pPr>
    </w:p>
    <w:sectPr>
      <w:headerReference r:id="rId1" w:type="default"/>
      <w:type w:val="nextPage"/>
      <w:pgSz w:h="11906" w:orient="landscape" w:w="16838"/>
      <w:pgMar w:bottom="709" w:footer="0" w:gutter="0" w:header="720" w:left="709" w:right="1134" w:top="1191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3"/>
    <w:link w:val="Style_6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Default Paragraph Font"/>
    <w:link w:val="Style_7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7_ch" w:type="character">
    <w:name w:val="Default Paragraph Font"/>
    <w:link w:val="Style_7"/>
    <w:rPr>
      <w:rFonts w:asciiTheme="minorAscii" w:hAnsiTheme="minorHAnsi"/>
      <w:color w:val="000000"/>
      <w:spacing w:val="0"/>
      <w:sz w:val="22"/>
    </w:rPr>
  </w:style>
  <w:style w:styleId="Style_8" w:type="paragraph">
    <w:name w:val="toc 4"/>
    <w:next w:val="Style_3"/>
    <w:link w:val="Style_8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3"/>
    <w:link w:val="Style_9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ontents 8"/>
    <w:link w:val="Style_10_ch"/>
    <w:rPr>
      <w:rFonts w:ascii="XO Thames" w:hAnsi="XO Thames"/>
      <w:sz w:val="28"/>
    </w:rPr>
  </w:style>
  <w:style w:styleId="Style_10_ch" w:type="character">
    <w:name w:val="Contents 8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Subtitle"/>
    <w:next w:val="Style_3"/>
    <w:link w:val="Style_12_ch"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2_ch" w:type="character">
    <w:name w:val="Subtitle"/>
    <w:link w:val="Style_12"/>
    <w:rPr>
      <w:rFonts w:ascii="XO Thames" w:hAnsi="XO Thames"/>
      <w:i w:val="1"/>
      <w:color w:val="000000"/>
      <w:spacing w:val="0"/>
      <w:sz w:val="24"/>
    </w:rPr>
  </w:style>
  <w:style w:styleId="Style_13" w:type="paragraph">
    <w:name w:val="Header"/>
    <w:link w:val="Style_13_ch"/>
  </w:style>
  <w:style w:styleId="Style_13_ch" w:type="character">
    <w:name w:val="Header"/>
    <w:link w:val="Style_13"/>
  </w:style>
  <w:style w:styleId="Style_14" w:type="paragraph">
    <w:name w:val="heading 3"/>
    <w:link w:val="Style_14_ch"/>
    <w:pPr>
      <w:ind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Endnote"/>
    <w:link w:val="Style_1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5_ch" w:type="character">
    <w:name w:val="Endnote"/>
    <w:link w:val="Style_15"/>
    <w:rPr>
      <w:rFonts w:ascii="XO Thames" w:hAnsi="XO Thames"/>
      <w:color w:val="000000"/>
      <w:spacing w:val="0"/>
      <w:sz w:val="22"/>
    </w:rPr>
  </w:style>
  <w:style w:styleId="Style_16" w:type="paragraph">
    <w:name w:val="heading 3"/>
    <w:next w:val="Style_3"/>
    <w:link w:val="Style_16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ConsPlusDocList"/>
    <w:link w:val="Style_17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7_ch" w:type="character">
    <w:name w:val="ConsPlusDocList"/>
    <w:link w:val="Style_17"/>
    <w:rPr>
      <w:rFonts w:asciiTheme="minorAscii" w:hAnsiTheme="minorHAnsi"/>
      <w:color w:val="000000"/>
      <w:spacing w:val="0"/>
      <w:sz w:val="22"/>
    </w:rPr>
  </w:style>
  <w:style w:styleId="Style_18" w:type="paragraph">
    <w:name w:val="Caption"/>
    <w:basedOn w:val="Style_3"/>
    <w:link w:val="Style_18_ch"/>
    <w:pPr>
      <w:spacing w:after="120" w:before="120"/>
      <w:ind/>
    </w:pPr>
    <w:rPr>
      <w:rFonts w:ascii="PT Astra Serif" w:hAnsi="PT Astra Serif"/>
      <w:i w:val="1"/>
      <w:sz w:val="24"/>
    </w:rPr>
  </w:style>
  <w:style w:styleId="Style_18_ch" w:type="character">
    <w:name w:val="Caption"/>
    <w:basedOn w:val="Style_3_ch"/>
    <w:link w:val="Style_18"/>
    <w:rPr>
      <w:rFonts w:ascii="PT Astra Serif" w:hAnsi="PT Astra Serif"/>
      <w:i w:val="1"/>
      <w:sz w:val="24"/>
    </w:rPr>
  </w:style>
  <w:style w:styleId="Style_19" w:type="paragraph">
    <w:name w:val="heading 5"/>
    <w:link w:val="Style_19_ch"/>
    <w:pPr>
      <w:ind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annotation text"/>
    <w:basedOn w:val="Style_3"/>
    <w:link w:val="Style_20_ch"/>
    <w:pPr>
      <w:spacing w:line="240" w:lineRule="auto"/>
      <w:ind/>
    </w:pPr>
    <w:rPr>
      <w:sz w:val="20"/>
    </w:rPr>
  </w:style>
  <w:style w:styleId="Style_20_ch" w:type="character">
    <w:name w:val="annotation text"/>
    <w:basedOn w:val="Style_3_ch"/>
    <w:link w:val="Style_20"/>
    <w:rPr>
      <w:sz w:val="20"/>
    </w:rPr>
  </w:style>
  <w:style w:styleId="Style_21" w:type="paragraph">
    <w:name w:val="Body Text"/>
    <w:basedOn w:val="Style_3"/>
    <w:link w:val="Style_21_ch"/>
    <w:pPr>
      <w:spacing w:after="140" w:before="0" w:line="276" w:lineRule="auto"/>
      <w:ind/>
    </w:pPr>
  </w:style>
  <w:style w:styleId="Style_21_ch" w:type="character">
    <w:name w:val="Body Text"/>
    <w:basedOn w:val="Style_3_ch"/>
    <w:link w:val="Style_21"/>
  </w:style>
  <w:style w:styleId="Style_22" w:type="paragraph">
    <w:name w:val="ConsPlusTitle"/>
    <w:link w:val="Style_2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22_ch" w:type="character">
    <w:name w:val="ConsPlusTitle"/>
    <w:link w:val="Style_22"/>
    <w:rPr>
      <w:rFonts w:asciiTheme="minorAscii" w:hAnsiTheme="minorHAnsi"/>
      <w:b w:val="1"/>
      <w:color w:val="000000"/>
      <w:spacing w:val="0"/>
      <w:sz w:val="22"/>
    </w:rPr>
  </w:style>
  <w:style w:styleId="Style_23" w:type="paragraph">
    <w:name w:val="toc 3"/>
    <w:next w:val="Style_3"/>
    <w:link w:val="Style_23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Содержимое врезки"/>
    <w:basedOn w:val="Style_3"/>
    <w:link w:val="Style_24_ch"/>
  </w:style>
  <w:style w:styleId="Style_24_ch" w:type="character">
    <w:name w:val="Содержимое врезки"/>
    <w:basedOn w:val="Style_3_ch"/>
    <w:link w:val="Style_24"/>
  </w:style>
  <w:style w:styleId="Style_25" w:type="paragraph">
    <w:name w:val="ConsPlusTextList"/>
    <w:link w:val="Style_25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0"/>
    </w:rPr>
  </w:style>
  <w:style w:styleId="Style_25_ch" w:type="character">
    <w:name w:val="ConsPlusTextList"/>
    <w:link w:val="Style_25"/>
    <w:rPr>
      <w:rFonts w:ascii="Arial" w:hAnsi="Arial"/>
      <w:color w:val="000000"/>
      <w:spacing w:val="0"/>
      <w:sz w:val="20"/>
    </w:rPr>
  </w:style>
  <w:style w:styleId="Style_26" w:type="paragraph">
    <w:name w:val="Contents 1"/>
    <w:link w:val="Style_26_ch"/>
    <w:rPr>
      <w:rFonts w:ascii="XO Thames" w:hAnsi="XO Thames"/>
      <w:b w:val="1"/>
      <w:sz w:val="28"/>
    </w:rPr>
  </w:style>
  <w:style w:styleId="Style_26_ch" w:type="character">
    <w:name w:val="Contents 1"/>
    <w:link w:val="Style_26"/>
    <w:rPr>
      <w:rFonts w:ascii="XO Thames" w:hAnsi="XO Thames"/>
      <w:b w:val="1"/>
      <w:sz w:val="28"/>
    </w:rPr>
  </w:style>
  <w:style w:styleId="Style_27" w:type="paragraph">
    <w:name w:val="Footer"/>
    <w:link w:val="Style_27_ch"/>
  </w:style>
  <w:style w:styleId="Style_27_ch" w:type="character">
    <w:name w:val="Footer"/>
    <w:link w:val="Style_27"/>
  </w:style>
  <w:style w:styleId="Style_28" w:type="paragraph">
    <w:name w:val="Footer"/>
    <w:basedOn w:val="Style_3"/>
    <w:link w:val="Style_28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8_ch" w:type="character">
    <w:name w:val="Footer"/>
    <w:basedOn w:val="Style_3_ch"/>
    <w:link w:val="Style_28"/>
  </w:style>
  <w:style w:styleId="Style_29" w:type="paragraph">
    <w:name w:val="Internet link"/>
    <w:link w:val="Style_29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9_ch" w:type="character">
    <w:name w:val="Internet link"/>
    <w:link w:val="Style_29"/>
    <w:rPr>
      <w:rFonts w:ascii="Calibri" w:hAnsi="Calibri"/>
      <w:color w:val="0000FF"/>
      <w:spacing w:val="0"/>
      <w:sz w:val="22"/>
      <w:u w:val="single"/>
    </w:rPr>
  </w:style>
  <w:style w:styleId="Style_30" w:type="paragraph">
    <w:name w:val="Contents 2"/>
    <w:link w:val="Style_30_ch"/>
    <w:rPr>
      <w:rFonts w:ascii="XO Thames" w:hAnsi="XO Thames"/>
      <w:sz w:val="28"/>
    </w:rPr>
  </w:style>
  <w:style w:styleId="Style_30_ch" w:type="character">
    <w:name w:val="Contents 2"/>
    <w:link w:val="Style_30"/>
    <w:rPr>
      <w:rFonts w:ascii="XO Thames" w:hAnsi="XO Thames"/>
      <w:sz w:val="28"/>
    </w:rPr>
  </w:style>
  <w:style w:styleId="Style_31" w:type="paragraph">
    <w:name w:val="heading 5"/>
    <w:next w:val="Style_3"/>
    <w:link w:val="Style_31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1_ch" w:type="character">
    <w:name w:val="heading 5"/>
    <w:link w:val="Style_31"/>
    <w:rPr>
      <w:rFonts w:ascii="XO Thames" w:hAnsi="XO Thames"/>
      <w:b w:val="1"/>
      <w:color w:val="000000"/>
      <w:spacing w:val="0"/>
      <w:sz w:val="22"/>
    </w:rPr>
  </w:style>
  <w:style w:styleId="Style_32" w:type="paragraph">
    <w:name w:val="annotation subject"/>
    <w:basedOn w:val="Style_20"/>
    <w:next w:val="Style_20"/>
    <w:link w:val="Style_32_ch"/>
    <w:rPr>
      <w:b w:val="1"/>
    </w:rPr>
  </w:style>
  <w:style w:styleId="Style_32_ch" w:type="character">
    <w:name w:val="annotation subject"/>
    <w:basedOn w:val="Style_20_ch"/>
    <w:link w:val="Style_32"/>
    <w:rPr>
      <w:b w:val="1"/>
    </w:rPr>
  </w:style>
  <w:style w:styleId="Style_33" w:type="paragraph">
    <w:name w:val="Нормальный (таблица)"/>
    <w:basedOn w:val="Style_3"/>
    <w:next w:val="Style_3"/>
    <w:link w:val="Style_33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33_ch" w:type="character">
    <w:name w:val="Нормальный (таблица)"/>
    <w:basedOn w:val="Style_3_ch"/>
    <w:link w:val="Style_33"/>
    <w:rPr>
      <w:rFonts w:ascii="Arial" w:hAnsi="Arial"/>
      <w:sz w:val="24"/>
    </w:rPr>
  </w:style>
  <w:style w:styleId="Style_34" w:type="paragraph">
    <w:name w:val="Contents 9"/>
    <w:link w:val="Style_34_ch"/>
    <w:rPr>
      <w:rFonts w:ascii="XO Thames" w:hAnsi="XO Thames"/>
      <w:sz w:val="28"/>
    </w:rPr>
  </w:style>
  <w:style w:styleId="Style_34_ch" w:type="character">
    <w:name w:val="Contents 9"/>
    <w:link w:val="Style_34"/>
    <w:rPr>
      <w:rFonts w:ascii="XO Thames" w:hAnsi="XO Thames"/>
      <w:sz w:val="28"/>
    </w:rPr>
  </w:style>
  <w:style w:styleId="Style_35" w:type="paragraph">
    <w:name w:val="heading 1"/>
    <w:next w:val="Style_3"/>
    <w:link w:val="Style_35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5_ch" w:type="character">
    <w:name w:val="heading 1"/>
    <w:link w:val="Style_35"/>
    <w:rPr>
      <w:rFonts w:ascii="XO Thames" w:hAnsi="XO Thames"/>
      <w:b w:val="1"/>
      <w:color w:val="000000"/>
      <w:spacing w:val="0"/>
      <w:sz w:val="32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7_ch" w:type="character">
    <w:name w:val="Footnote"/>
    <w:link w:val="Style_37"/>
    <w:rPr>
      <w:rFonts w:ascii="XO Thames" w:hAnsi="XO Thames"/>
      <w:color w:val="000000"/>
      <w:spacing w:val="0"/>
      <w:sz w:val="22"/>
    </w:rPr>
  </w:style>
  <w:style w:styleId="Style_38" w:type="paragraph">
    <w:name w:val="toc 1"/>
    <w:next w:val="Style_3"/>
    <w:link w:val="Style_38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8_ch" w:type="character">
    <w:name w:val="toc 1"/>
    <w:link w:val="Style_38"/>
    <w:rPr>
      <w:rFonts w:ascii="XO Thames" w:hAnsi="XO Thames"/>
      <w:b w:val="1"/>
      <w:color w:val="000000"/>
      <w:spacing w:val="0"/>
      <w:sz w:val="28"/>
    </w:rPr>
  </w:style>
  <w:style w:styleId="Style_39" w:type="paragraph">
    <w:name w:val="Header and Footer"/>
    <w:link w:val="Style_39_ch"/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heading 4"/>
    <w:next w:val="Style_3"/>
    <w:link w:val="Style_40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0_ch" w:type="character">
    <w:name w:val="heading 4"/>
    <w:link w:val="Style_40"/>
    <w:rPr>
      <w:rFonts w:ascii="XO Thames" w:hAnsi="XO Thames"/>
      <w:b w:val="1"/>
      <w:color w:val="000000"/>
      <w:spacing w:val="0"/>
      <w:sz w:val="24"/>
    </w:rPr>
  </w:style>
  <w:style w:styleId="Style_41" w:type="paragraph">
    <w:name w:val="Contents 3"/>
    <w:link w:val="Style_41_ch"/>
    <w:rPr>
      <w:rFonts w:ascii="XO Thames" w:hAnsi="XO Thames"/>
      <w:sz w:val="28"/>
    </w:rPr>
  </w:style>
  <w:style w:styleId="Style_41_ch" w:type="character">
    <w:name w:val="Contents 3"/>
    <w:link w:val="Style_41"/>
    <w:rPr>
      <w:rFonts w:ascii="XO Thames" w:hAnsi="XO Thames"/>
      <w:sz w:val="28"/>
    </w:rPr>
  </w:style>
  <w:style w:styleId="Style_42" w:type="paragraph">
    <w:name w:val="ConsPlusJurTerm"/>
    <w:link w:val="Style_42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6"/>
    </w:rPr>
  </w:style>
  <w:style w:styleId="Style_42_ch" w:type="character">
    <w:name w:val="ConsPlusJurTerm"/>
    <w:link w:val="Style_42"/>
    <w:rPr>
      <w:rFonts w:ascii="Tahoma" w:hAnsi="Tahoma"/>
      <w:color w:val="000000"/>
      <w:spacing w:val="0"/>
      <w:sz w:val="26"/>
    </w:rPr>
  </w:style>
  <w:style w:styleId="Style_43" w:type="paragraph">
    <w:name w:val="toc 9"/>
    <w:next w:val="Style_3"/>
    <w:link w:val="Style_43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9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Title"/>
    <w:next w:val="Style_3"/>
    <w:link w:val="Style_44_ch"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color w:val="000000"/>
      <w:spacing w:val="0"/>
      <w:sz w:val="40"/>
    </w:rPr>
  </w:style>
  <w:style w:styleId="Style_45" w:type="paragraph">
    <w:name w:val="List"/>
    <w:basedOn w:val="Style_21"/>
    <w:link w:val="Style_45_ch"/>
    <w:rPr>
      <w:rFonts w:ascii="PT Astra Serif" w:hAnsi="PT Astra Serif"/>
    </w:rPr>
  </w:style>
  <w:style w:styleId="Style_45_ch" w:type="character">
    <w:name w:val="List"/>
    <w:basedOn w:val="Style_21_ch"/>
    <w:link w:val="Style_45"/>
    <w:rPr>
      <w:rFonts w:ascii="PT Astra Serif" w:hAnsi="PT Astra Serif"/>
    </w:rPr>
  </w:style>
  <w:style w:styleId="Style_46" w:type="paragraph">
    <w:name w:val="Заголовок"/>
    <w:basedOn w:val="Style_3"/>
    <w:next w:val="Style_21"/>
    <w:link w:val="Style_4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6_ch" w:type="character">
    <w:name w:val="Заголовок"/>
    <w:basedOn w:val="Style_3_ch"/>
    <w:link w:val="Style_46"/>
    <w:rPr>
      <w:rFonts w:ascii="PT Astra Serif" w:hAnsi="PT Astra Serif"/>
      <w:sz w:val="28"/>
    </w:rPr>
  </w:style>
  <w:style w:styleId="Style_47" w:type="paragraph">
    <w:name w:val="Contents 7"/>
    <w:link w:val="Style_47_ch"/>
    <w:rPr>
      <w:rFonts w:ascii="XO Thames" w:hAnsi="XO Thames"/>
      <w:sz w:val="28"/>
    </w:rPr>
  </w:style>
  <w:style w:styleId="Style_47_ch" w:type="character">
    <w:name w:val="Contents 7"/>
    <w:link w:val="Style_47"/>
    <w:rPr>
      <w:rFonts w:ascii="XO Thames" w:hAnsi="XO Thames"/>
      <w:sz w:val="28"/>
    </w:rPr>
  </w:style>
  <w:style w:styleId="Style_48" w:type="paragraph">
    <w:name w:val="toc 8"/>
    <w:next w:val="Style_3"/>
    <w:link w:val="Style_48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8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annotation reference"/>
    <w:basedOn w:val="Style_7"/>
    <w:link w:val="Style_49_ch"/>
    <w:rPr>
      <w:sz w:val="16"/>
    </w:rPr>
  </w:style>
  <w:style w:styleId="Style_49_ch" w:type="character">
    <w:name w:val="annotation reference"/>
    <w:basedOn w:val="Style_7_ch"/>
    <w:link w:val="Style_49"/>
    <w:rPr>
      <w:sz w:val="16"/>
    </w:rPr>
  </w:style>
  <w:style w:styleId="Style_50" w:type="paragraph">
    <w:name w:val="Balloon Text"/>
    <w:basedOn w:val="Style_3"/>
    <w:link w:val="Style_50_ch"/>
    <w:pPr>
      <w:spacing w:after="0" w:before="0" w:line="240" w:lineRule="auto"/>
      <w:ind/>
    </w:pPr>
    <w:rPr>
      <w:rFonts w:ascii="Segoe UI" w:hAnsi="Segoe UI"/>
      <w:sz w:val="18"/>
    </w:rPr>
  </w:style>
  <w:style w:styleId="Style_50_ch" w:type="character">
    <w:name w:val="Balloon Text"/>
    <w:basedOn w:val="Style_3_ch"/>
    <w:link w:val="Style_50"/>
    <w:rPr>
      <w:rFonts w:ascii="Segoe UI" w:hAnsi="Segoe UI"/>
      <w:sz w:val="18"/>
    </w:rPr>
  </w:style>
  <w:style w:styleId="Style_51" w:type="paragraph">
    <w:name w:val="ConsPlusCell"/>
    <w:link w:val="Style_51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51_ch" w:type="character">
    <w:name w:val="ConsPlusCell"/>
    <w:link w:val="Style_51"/>
    <w:rPr>
      <w:rFonts w:ascii="Courier New" w:hAnsi="Courier New"/>
      <w:color w:val="000000"/>
      <w:spacing w:val="0"/>
      <w:sz w:val="20"/>
    </w:rPr>
  </w:style>
  <w:style w:styleId="Style_52" w:type="paragraph">
    <w:name w:val="Contents 4"/>
    <w:link w:val="Style_52_ch"/>
    <w:rPr>
      <w:rFonts w:ascii="XO Thames" w:hAnsi="XO Thames"/>
      <w:sz w:val="28"/>
    </w:rPr>
  </w:style>
  <w:style w:styleId="Style_52_ch" w:type="character">
    <w:name w:val="Contents 4"/>
    <w:link w:val="Style_52"/>
    <w:rPr>
      <w:rFonts w:ascii="XO Thames" w:hAnsi="XO Thames"/>
      <w:sz w:val="28"/>
    </w:rPr>
  </w:style>
  <w:style w:styleId="Style_53" w:type="paragraph">
    <w:name w:val="toc 5"/>
    <w:next w:val="Style_3"/>
    <w:link w:val="Style_53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toc 5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Колонтитул"/>
    <w:link w:val="Style_54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54_ch" w:type="character">
    <w:name w:val="Колонтитул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Contents 6"/>
    <w:link w:val="Style_55_ch"/>
    <w:rPr>
      <w:rFonts w:ascii="XO Thames" w:hAnsi="XO Thames"/>
      <w:sz w:val="28"/>
    </w:rPr>
  </w:style>
  <w:style w:styleId="Style_55_ch" w:type="character">
    <w:name w:val="Contents 6"/>
    <w:link w:val="Style_55"/>
    <w:rPr>
      <w:rFonts w:ascii="XO Thames" w:hAnsi="XO Thames"/>
      <w:sz w:val="28"/>
    </w:rPr>
  </w:style>
  <w:style w:styleId="Style_56" w:type="paragraph">
    <w:name w:val="Указатель"/>
    <w:basedOn w:val="Style_3"/>
    <w:link w:val="Style_56_ch"/>
    <w:rPr>
      <w:rFonts w:ascii="PT Astra Serif" w:hAnsi="PT Astra Serif"/>
    </w:rPr>
  </w:style>
  <w:style w:styleId="Style_56_ch" w:type="character">
    <w:name w:val="Указатель"/>
    <w:basedOn w:val="Style_3_ch"/>
    <w:link w:val="Style_56"/>
    <w:rPr>
      <w:rFonts w:ascii="PT Astra Serif" w:hAnsi="PT Astra Serif"/>
    </w:rPr>
  </w:style>
  <w:style w:styleId="Style_57" w:type="paragraph">
    <w:name w:val="Contents 5"/>
    <w:link w:val="Style_57_ch"/>
    <w:rPr>
      <w:rFonts w:ascii="XO Thames" w:hAnsi="XO Thames"/>
      <w:sz w:val="28"/>
    </w:rPr>
  </w:style>
  <w:style w:styleId="Style_57_ch" w:type="character">
    <w:name w:val="Contents 5"/>
    <w:link w:val="Style_57"/>
    <w:rPr>
      <w:rFonts w:ascii="XO Thames" w:hAnsi="XO Thames"/>
      <w:sz w:val="28"/>
    </w:rPr>
  </w:style>
  <w:style w:styleId="Style_58" w:type="paragraph">
    <w:name w:val="heading 2"/>
    <w:next w:val="Style_3"/>
    <w:link w:val="Style_58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8_ch" w:type="character">
    <w:name w:val="heading 2"/>
    <w:link w:val="Style_58"/>
    <w:rPr>
      <w:rFonts w:ascii="XO Thames" w:hAnsi="XO Thames"/>
      <w:b w:val="1"/>
      <w:color w:val="000000"/>
      <w:spacing w:val="0"/>
      <w:sz w:val="28"/>
    </w:rPr>
  </w:style>
  <w:style w:styleId="Style_59" w:type="paragraph">
    <w:name w:val="Subtitle"/>
    <w:link w:val="Style_59_ch"/>
    <w:uiPriority w:val="11"/>
    <w:qFormat/>
    <w:rPr>
      <w:rFonts w:ascii="XO Thames" w:hAnsi="XO Thames"/>
      <w:i w:val="1"/>
      <w:sz w:val="24"/>
    </w:rPr>
  </w:style>
  <w:style w:styleId="Style_59_ch" w:type="character">
    <w:name w:val="Subtitle"/>
    <w:link w:val="Style_59"/>
    <w:rPr>
      <w:rFonts w:ascii="XO Thames" w:hAnsi="XO Thames"/>
      <w:i w:val="1"/>
      <w:sz w:val="24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60" w:type="paragraph">
    <w:name w:val="Title"/>
    <w:link w:val="Style_60_ch"/>
    <w:uiPriority w:val="10"/>
    <w:qFormat/>
    <w:rPr>
      <w:rFonts w:ascii="XO Thames" w:hAnsi="XO Thames"/>
      <w:b w:val="1"/>
      <w:caps w:val="1"/>
      <w:sz w:val="40"/>
    </w:rPr>
  </w:style>
  <w:style w:styleId="Style_60_ch" w:type="character">
    <w:name w:val="Title"/>
    <w:link w:val="Style_60"/>
    <w:rPr>
      <w:rFonts w:ascii="XO Thames" w:hAnsi="XO Thames"/>
      <w:b w:val="1"/>
      <w:caps w:val="1"/>
      <w:sz w:val="40"/>
    </w:rPr>
  </w:style>
  <w:style w:styleId="Style_61" w:type="paragraph">
    <w:name w:val="heading 4"/>
    <w:link w:val="Style_61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61_ch" w:type="character">
    <w:name w:val="heading 4"/>
    <w:link w:val="Style_61"/>
    <w:rPr>
      <w:rFonts w:ascii="XO Thames" w:hAnsi="XO Thames"/>
      <w:b w:val="1"/>
      <w:sz w:val="24"/>
    </w:rPr>
  </w:style>
  <w:style w:styleId="Style_62" w:type="paragraph">
    <w:name w:val="ConsPlusTitlePage"/>
    <w:link w:val="Style_62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0"/>
    </w:rPr>
  </w:style>
  <w:style w:styleId="Style_62_ch" w:type="character">
    <w:name w:val="ConsPlusTitlePage"/>
    <w:link w:val="Style_62"/>
    <w:rPr>
      <w:rFonts w:ascii="Tahoma" w:hAnsi="Tahoma"/>
      <w:color w:val="000000"/>
      <w:spacing w:val="0"/>
      <w:sz w:val="20"/>
    </w:rPr>
  </w:style>
  <w:style w:styleId="Style_63" w:type="paragraph">
    <w:name w:val="heading 1"/>
    <w:link w:val="Style_63_ch"/>
    <w:pPr>
      <w:ind/>
      <w:outlineLvl w:val="0"/>
    </w:pPr>
    <w:rPr>
      <w:rFonts w:ascii="XO Thames" w:hAnsi="XO Thames"/>
      <w:b w:val="1"/>
      <w:sz w:val="32"/>
    </w:rPr>
  </w:style>
  <w:style w:styleId="Style_63_ch" w:type="character">
    <w:name w:val="heading 1"/>
    <w:link w:val="Style_63"/>
    <w:rPr>
      <w:rFonts w:ascii="XO Thames" w:hAnsi="XO Thames"/>
      <w:b w:val="1"/>
      <w:sz w:val="32"/>
    </w:rPr>
  </w:style>
  <w:style w:styleId="Style_64" w:type="paragraph">
    <w:name w:val="heading 2"/>
    <w:link w:val="Style_64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64_ch" w:type="character">
    <w:name w:val="heading 2"/>
    <w:link w:val="Style_64"/>
    <w:rPr>
      <w:rFonts w:ascii="XO Thames" w:hAnsi="XO Thames"/>
      <w:b w:val="1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65" w:type="paragraph">
    <w:name w:val="ConsPlusNonformat"/>
    <w:link w:val="Style_65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65_ch" w:type="character">
    <w:name w:val="ConsPlusNonformat"/>
    <w:link w:val="Style_65"/>
    <w:rPr>
      <w:rFonts w:ascii="Courier New" w:hAnsi="Courier New"/>
      <w:color w:val="000000"/>
      <w:spacing w:val="0"/>
      <w:sz w:val="20"/>
    </w:r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2025-11-12T08:42:12Z</dcterms:modified>
</cp:coreProperties>
</file>