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9411</w:t>
      </w:r>
      <w:r>
        <w:rPr>
          <w:spacing w:val="-4"/>
          <w:sz w:val="28"/>
        </w:rPr>
        <w:t>-П</w:t>
      </w:r>
    </w:p>
    <w:p w14:paraId="07000000">
      <w:pPr>
        <w:spacing w:after="0" w:before="0" w:line="240" w:lineRule="auto"/>
        <w:ind w:right="4534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внесении изменения</w:t>
      </w:r>
      <w:r>
        <w:rPr>
          <w:rFonts w:ascii="PT Astra Serif" w:hAnsi="PT Astra Serif"/>
          <w:b w:val="0"/>
          <w:sz w:val="28"/>
        </w:rPr>
        <w:t xml:space="preserve"> в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постановление администрации города Магнитогорска от 21.12.2011 № 15524-П</w:t>
      </w:r>
    </w:p>
    <w:p w14:paraId="08000000">
      <w:pPr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09000000">
      <w:pPr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 Трудовым кодексом Российской Федерации, Федеральным законом </w:t>
      </w:r>
      <w:r>
        <w:rPr>
          <w:rFonts w:ascii="PT Astra Serif" w:hAnsi="PT Astra Serif"/>
          <w:b w:val="0"/>
          <w:sz w:val="28"/>
        </w:rPr>
        <w:t>от 20 марта 2025 года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33-ФЗ</w:t>
      </w:r>
      <w:r>
        <w:rPr>
          <w:rFonts w:ascii="PT Astra Serif" w:hAnsi="PT Astra Serif"/>
          <w:b w:val="0"/>
          <w:sz w:val="28"/>
        </w:rPr>
        <w:t xml:space="preserve"> «</w:t>
      </w:r>
      <w:r>
        <w:rPr>
          <w:rFonts w:ascii="PT Astra Serif" w:hAnsi="PT Astra Serif"/>
          <w:b w:val="0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b w:val="0"/>
          <w:sz w:val="28"/>
        </w:rPr>
        <w:t>»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руководствуясь Уставом города Магнитогорска,</w:t>
      </w:r>
    </w:p>
    <w:p w14:paraId="0A000000">
      <w:pPr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0B000000">
      <w:pPr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C000000">
      <w:p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pacing w:val="-4"/>
          <w:sz w:val="28"/>
        </w:rPr>
        <w:t>1.</w:t>
      </w:r>
      <w:r>
        <w:rPr>
          <w:rFonts w:ascii="PT Astra Serif" w:hAnsi="PT Astra Serif"/>
          <w:b w:val="0"/>
          <w:color w:val="000000"/>
          <w:spacing w:val="-4"/>
          <w:sz w:val="28"/>
        </w:rPr>
        <w:t>   </w:t>
      </w:r>
      <w:r>
        <w:rPr>
          <w:rFonts w:ascii="PT Astra Serif" w:hAnsi="PT Astra Serif"/>
          <w:b w:val="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21.12.2011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15524-П «Об утверждении Методических рекомендаций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z w:val="28"/>
        </w:rPr>
        <w:t>по системе оплаты труда работников Муниципального автономного общеобразовательного учреждения «Магнитогорская школа - интернат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z w:val="28"/>
        </w:rPr>
        <w:t>с углубленным изучением предметов для перспективных детей» (далее</w:t>
      </w:r>
      <w:r>
        <w:rPr>
          <w:rFonts w:ascii="PT Astra Serif" w:hAnsi="PT Astra Serif"/>
          <w:b w:val="0"/>
          <w:sz w:val="28"/>
        </w:rPr>
        <w:t xml:space="preserve"> – </w:t>
      </w:r>
      <w:r>
        <w:rPr>
          <w:rFonts w:ascii="PT Astra Serif" w:hAnsi="PT Astra Serif"/>
          <w:b w:val="0"/>
          <w:sz w:val="28"/>
        </w:rPr>
        <w:t>постановление) изме</w:t>
      </w:r>
      <w:r>
        <w:rPr>
          <w:rFonts w:ascii="PT Astra Serif" w:hAnsi="PT Astra Serif"/>
          <w:b w:val="0"/>
          <w:sz w:val="28"/>
        </w:rPr>
        <w:t>нение,</w:t>
      </w:r>
      <w:r>
        <w:rPr>
          <w:rFonts w:ascii="PT Astra Serif" w:hAnsi="PT Astra Serif"/>
          <w:b w:val="0"/>
          <w:sz w:val="28"/>
        </w:rPr>
        <w:t xml:space="preserve"> приложение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11 к Методическим рекомендациям по системе оплаты труда работников Муниципального автономного общеобразовательного учреждения «Магнитогорская школа - интернат с углубленным изучением предметов для перспективных детей», утвержденным постановлением, изложить в новой редакции (приложение).</w:t>
      </w:r>
    </w:p>
    <w:p w14:paraId="0D000000">
      <w:p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z w:val="28"/>
        </w:rPr>
        <w:t>и распространяет свое действие на правоотношения, возникшие с 01.09.2025.</w:t>
      </w:r>
    </w:p>
    <w:p w14:paraId="0E000000">
      <w:p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</w:t>
      </w:r>
      <w:r>
        <w:rPr>
          <w:rFonts w:ascii="PT Astra Serif" w:hAnsi="PT Astra Serif"/>
          <w:b w:val="0"/>
          <w:sz w:val="28"/>
        </w:rPr>
        <w:t>орода Магнитогорска (Числова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Г.Д.</w:t>
      </w:r>
      <w:r>
        <w:rPr>
          <w:rFonts w:ascii="PT Astra Serif" w:hAnsi="PT Astra Serif"/>
          <w:b w:val="0"/>
          <w:sz w:val="28"/>
        </w:rPr>
        <w:t xml:space="preserve">) разместить настоящее постановление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официальном сайте администрации города Магнитогорска.</w:t>
      </w:r>
    </w:p>
    <w:p w14:paraId="0F000000">
      <w:p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заместителя главы города Магнитогорска Сафонову Н.В.</w:t>
      </w:r>
    </w:p>
    <w:p w14:paraId="10000000">
      <w:pPr>
        <w:tabs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1000000">
      <w:pPr>
        <w:tabs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2000000">
      <w:pPr>
        <w:tabs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3000000">
      <w:pPr>
        <w:spacing w:after="0" w:before="0" w:line="240" w:lineRule="auto"/>
        <w:ind w:right="-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Глава города Магнитогорска 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 xml:space="preserve">                                    С.Н. Бердников</w:t>
      </w:r>
    </w:p>
    <w:p w14:paraId="14000000">
      <w:pPr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5000000">
      <w:pPr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6000000">
      <w:pPr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</w:rPr>
        <w:br w:type="page"/>
      </w:r>
    </w:p>
    <w:p w14:paraId="17000000">
      <w:pPr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2"/>
        </w:rPr>
      </w:pPr>
      <w:r>
        <w:rPr>
          <w:rFonts w:ascii="PT Astra Serif" w:hAnsi="PT Astra Serif"/>
          <w:b w:val="0"/>
          <w:sz w:val="22"/>
        </w:rPr>
        <w:t xml:space="preserve">Приложение </w:t>
      </w:r>
    </w:p>
    <w:p w14:paraId="18000000">
      <w:pPr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2"/>
        </w:rPr>
      </w:pPr>
      <w:r>
        <w:rPr>
          <w:rFonts w:ascii="PT Astra Serif" w:hAnsi="PT Astra Serif"/>
          <w:b w:val="0"/>
          <w:sz w:val="22"/>
        </w:rPr>
        <w:t xml:space="preserve">к постановлению </w:t>
      </w:r>
      <w:r>
        <w:rPr>
          <w:rFonts w:ascii="PT Astra Serif" w:hAnsi="PT Astra Serif"/>
          <w:b w:val="0"/>
          <w:sz w:val="22"/>
        </w:rPr>
        <w:t>администрации</w:t>
      </w:r>
    </w:p>
    <w:p w14:paraId="19000000">
      <w:pPr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2"/>
        </w:rPr>
      </w:pPr>
      <w:r>
        <w:rPr>
          <w:rFonts w:ascii="PT Astra Serif" w:hAnsi="PT Astra Serif"/>
          <w:b w:val="0"/>
          <w:sz w:val="22"/>
        </w:rPr>
        <w:t xml:space="preserve">города Магнитогорска </w:t>
      </w:r>
    </w:p>
    <w:p w14:paraId="1A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2"/>
        </w:rPr>
      </w:pPr>
      <w:r>
        <w:rPr>
          <w:rFonts w:ascii="PT Astra Serif" w:hAnsi="PT Astra Serif"/>
          <w:b w:val="0"/>
          <w:sz w:val="22"/>
        </w:rPr>
        <w:t>от 05.11.2025 № 9411-П</w:t>
      </w:r>
    </w:p>
    <w:p w14:paraId="1B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2"/>
        </w:rPr>
      </w:pPr>
    </w:p>
    <w:p w14:paraId="1C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0"/>
        </w:rPr>
      </w:pPr>
      <w:r>
        <w:rPr>
          <w:rFonts w:ascii="PT Astra Serif" w:hAnsi="PT Astra Serif"/>
          <w:b w:val="0"/>
          <w:sz w:val="20"/>
        </w:rPr>
        <w:t>Приложение № 11</w:t>
      </w:r>
      <w:r>
        <w:rPr>
          <w:rFonts w:ascii="PT Astra Serif" w:hAnsi="PT Astra Serif"/>
          <w:b w:val="0"/>
          <w:sz w:val="20"/>
        </w:rPr>
        <w:br/>
      </w:r>
      <w:r>
        <w:rPr>
          <w:rFonts w:ascii="PT Astra Serif" w:hAnsi="PT Astra Serif"/>
          <w:b w:val="0"/>
          <w:sz w:val="20"/>
        </w:rPr>
        <w:t xml:space="preserve">к </w:t>
      </w:r>
      <w:r>
        <w:rPr>
          <w:rFonts w:ascii="PT Astra Serif" w:hAnsi="PT Astra Serif"/>
          <w:b w:val="0"/>
          <w:sz w:val="20"/>
        </w:rPr>
        <w:fldChar w:fldCharType="begin"/>
      </w:r>
      <w:r>
        <w:rPr>
          <w:rFonts w:ascii="PT Astra Serif" w:hAnsi="PT Astra Serif"/>
          <w:b w:val="0"/>
          <w:sz w:val="20"/>
        </w:rPr>
        <w:instrText>HYPERLINK "https://internet.garant.ru/document/redirect/8790778/1000"</w:instrText>
      </w:r>
      <w:r>
        <w:rPr>
          <w:rFonts w:ascii="PT Astra Serif" w:hAnsi="PT Astra Serif"/>
          <w:b w:val="0"/>
          <w:sz w:val="20"/>
        </w:rPr>
        <w:fldChar w:fldCharType="separate"/>
      </w:r>
      <w:r>
        <w:rPr>
          <w:rFonts w:ascii="PT Astra Serif" w:hAnsi="PT Astra Serif"/>
          <w:b w:val="0"/>
          <w:sz w:val="20"/>
        </w:rPr>
        <w:t>методическим рекомендациям</w:t>
      </w:r>
      <w:r>
        <w:rPr>
          <w:rFonts w:ascii="PT Astra Serif" w:hAnsi="PT Astra Serif"/>
          <w:b w:val="0"/>
          <w:sz w:val="20"/>
        </w:rPr>
        <w:fldChar w:fldCharType="end"/>
      </w:r>
      <w:r>
        <w:rPr>
          <w:rFonts w:ascii="PT Astra Serif" w:hAnsi="PT Astra Serif"/>
          <w:b w:val="0"/>
          <w:sz w:val="20"/>
        </w:rPr>
        <w:br/>
      </w:r>
      <w:r>
        <w:rPr>
          <w:rFonts w:ascii="PT Astra Serif" w:hAnsi="PT Astra Serif"/>
          <w:b w:val="0"/>
          <w:sz w:val="20"/>
        </w:rPr>
        <w:t xml:space="preserve">по системе оплаты труда работников </w:t>
      </w:r>
      <w:r>
        <w:rPr>
          <w:rFonts w:ascii="PT Astra Serif" w:hAnsi="PT Astra Serif"/>
          <w:b w:val="0"/>
          <w:sz w:val="20"/>
        </w:rPr>
        <w:t xml:space="preserve">Муниципального автономного </w:t>
      </w:r>
      <w:r>
        <w:rPr>
          <w:rFonts w:ascii="PT Astra Serif" w:hAnsi="PT Astra Serif"/>
          <w:b w:val="0"/>
          <w:sz w:val="20"/>
        </w:rPr>
        <w:t xml:space="preserve">общеобразовательного учреждения </w:t>
      </w:r>
    </w:p>
    <w:p w14:paraId="1D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0"/>
        </w:rPr>
      </w:pPr>
      <w:r>
        <w:rPr>
          <w:rFonts w:ascii="PT Astra Serif" w:hAnsi="PT Astra Serif"/>
          <w:b w:val="0"/>
          <w:sz w:val="20"/>
        </w:rPr>
        <w:t>«Магнитогорская школа - интернат</w:t>
      </w:r>
      <w:r>
        <w:rPr>
          <w:sz w:val="20"/>
        </w:rPr>
        <w:br/>
      </w:r>
      <w:r>
        <w:rPr>
          <w:rFonts w:ascii="PT Astra Serif" w:hAnsi="PT Astra Serif"/>
          <w:b w:val="0"/>
          <w:sz w:val="20"/>
        </w:rPr>
        <w:t xml:space="preserve">с </w:t>
      </w:r>
      <w:r>
        <w:rPr>
          <w:rFonts w:ascii="PT Astra Serif" w:hAnsi="PT Astra Serif"/>
          <w:b w:val="0"/>
          <w:sz w:val="20"/>
        </w:rPr>
        <w:t>углубленным изучением предметов</w:t>
      </w:r>
      <w:r>
        <w:br/>
      </w:r>
      <w:r>
        <w:rPr>
          <w:rFonts w:ascii="PT Astra Serif" w:hAnsi="PT Astra Serif"/>
          <w:b w:val="0"/>
          <w:sz w:val="20"/>
        </w:rPr>
        <w:t>для перспективных детей»</w:t>
      </w:r>
    </w:p>
    <w:p w14:paraId="1E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sz w:val="24"/>
        </w:rPr>
      </w:pPr>
    </w:p>
    <w:p w14:paraId="1F000000">
      <w:pPr>
        <w:widowControl w:val="0"/>
        <w:spacing w:after="0" w:before="0" w:line="240" w:lineRule="auto"/>
        <w:ind w:firstLine="0" w:left="567" w:right="567"/>
        <w:jc w:val="center"/>
        <w:outlineLvl w:val="0"/>
        <w:rPr>
          <w:rFonts w:ascii="PT Astra Serif" w:hAnsi="PT Astra Serif"/>
          <w:b w:val="0"/>
          <w:color w:val="26282F"/>
          <w:sz w:val="24"/>
        </w:rPr>
      </w:pPr>
      <w:r>
        <w:rPr>
          <w:rFonts w:ascii="PT Astra Serif" w:hAnsi="PT Astra Serif"/>
          <w:b w:val="0"/>
          <w:color w:val="26282F"/>
          <w:sz w:val="24"/>
        </w:rPr>
        <w:t>Примерные нормативы штатной численности Муниципального автономного общеобразовательного учреждения «Магнитогорская школа - интернат</w:t>
      </w:r>
      <w:r>
        <w:br/>
      </w:r>
      <w:r>
        <w:rPr>
          <w:rFonts w:ascii="PT Astra Serif" w:hAnsi="PT Astra Serif"/>
          <w:b w:val="0"/>
          <w:color w:val="26282F"/>
          <w:sz w:val="24"/>
        </w:rPr>
        <w:t>с углубленным изучением предметов для перспективных детей»</w:t>
      </w:r>
    </w:p>
    <w:p w14:paraId="20000000">
      <w:pPr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b w:val="0"/>
          <w:sz w:val="24"/>
        </w:rPr>
      </w:pPr>
    </w:p>
    <w:tbl>
      <w:tblPr>
        <w:tblStyle w:val="Style_2"/>
        <w:tblW w:type="auto" w:w="0"/>
        <w:tblInd w:type="dxa" w:w="95"/>
        <w:tblLayout w:type="fixed"/>
      </w:tblPr>
      <w:tblGrid>
        <w:gridCol w:w="962"/>
        <w:gridCol w:w="6407"/>
        <w:gridCol w:w="1918"/>
      </w:tblGrid>
      <w:tr>
        <w:trPr>
          <w:trHeight w:hRule="atLeast" w:val="45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1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№</w:t>
            </w:r>
          </w:p>
          <w:p w14:paraId="22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п/п 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3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Должность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4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Количество штатных </w:t>
            </w:r>
            <w:r>
              <w:rPr>
                <w:rFonts w:ascii="PT Astra Serif" w:hAnsi="PT Astra Serif"/>
                <w:b w:val="0"/>
                <w:sz w:val="24"/>
              </w:rPr>
              <w:br/>
            </w:r>
            <w:r>
              <w:rPr>
                <w:rFonts w:ascii="PT Astra Serif" w:hAnsi="PT Astra Serif"/>
                <w:b w:val="0"/>
                <w:sz w:val="24"/>
              </w:rPr>
              <w:t>единиц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bottom"/>
          </w:tcPr>
          <w:p w14:paraId="25000000">
            <w:pPr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b w:val="0"/>
                <w:sz w:val="24"/>
              </w:rPr>
              <w:t>Административно-управленческий персонал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6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7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Директор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8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45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9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A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Заместитель директора 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B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45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C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D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E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0,5</w:t>
            </w:r>
          </w:p>
        </w:tc>
      </w:tr>
      <w:tr>
        <w:trPr>
          <w:trHeight w:hRule="atLeast" w:val="450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F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Отдел по организации отдыха, реализации путевок </w:t>
            </w:r>
            <w:r>
              <w:rPr>
                <w:rFonts w:ascii="PT Astra Serif" w:hAnsi="PT Astra Serif"/>
                <w:b w:val="0"/>
                <w:sz w:val="24"/>
              </w:rPr>
              <w:br/>
            </w:r>
            <w:r>
              <w:rPr>
                <w:rFonts w:ascii="PT Astra Serif" w:hAnsi="PT Astra Serif"/>
                <w:b w:val="0"/>
                <w:sz w:val="24"/>
              </w:rPr>
              <w:t>и взаимодействия с ВУЗами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0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1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Главный специалист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2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3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4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Главный специалист по маркетингу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5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6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7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Ведущий специалист по маркетингу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8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346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9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sz w:val="24"/>
              </w:rPr>
              <w:t>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A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Экскурсовод (с 01.01.2025 по 31.03.2025)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B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0,5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C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Финансово-экономический отдел</w:t>
            </w:r>
          </w:p>
        </w:tc>
      </w:tr>
      <w:tr>
        <w:trPr>
          <w:trHeight w:hRule="atLeast" w:val="34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D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E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Начальник финансово-экономического отдела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F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303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0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1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Заместитель начальника финансово-экономического отдела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2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3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4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Главный экономист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5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1,5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6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7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Ведущий экономист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8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9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A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Экономист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B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C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D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Главный специалист по  учету   и отчетности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E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F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0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Бухгалтер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1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2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3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bookmarkStart w:id="1" w:name="_GoBack"/>
            <w:r>
              <w:rPr>
                <w:rFonts w:ascii="PT Astra Serif" w:hAnsi="PT Astra Serif"/>
                <w:b w:val="0"/>
                <w:sz w:val="24"/>
              </w:rPr>
              <w:t>Бухгал</w:t>
            </w:r>
            <w:bookmarkEnd w:id="1"/>
            <w:r>
              <w:rPr>
                <w:rFonts w:ascii="PT Astra Serif" w:hAnsi="PT Astra Serif"/>
                <w:b w:val="0"/>
                <w:sz w:val="24"/>
              </w:rPr>
              <w:t xml:space="preserve">тер расчетчик                                           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4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5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6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Главный специалист по закупкам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7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8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9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Ведущий специалист по закупкам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A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B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Кадрово-юридический отдел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C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D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Главный юрисконсульт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E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F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0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Ведущий юрисконсульт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1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2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3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Ведущий специалист по кадрам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4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5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6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Специалист по кадрам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7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8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9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Секретарь руководителя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A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B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Административно-хозяйственная часть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C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D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Заведующий хозяйством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E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F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0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Заведующий складом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1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2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3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Кастелянша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4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5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6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Администратор по расселению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7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8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9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Машинист по стирке и ремонту спецодежды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A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45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B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C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Уборщик производственных и служебных помещений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D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2 (при наличии договора на аутсорсинг из расчета 5 000 кв.м. на 1 ставку; 16 ставок (1 ставка не менее 50 кв.м. убираемой площади при отсутствии договора на аутсорсинг)) 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E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F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Кладовщик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0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450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1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Отдел по учебно-воспитательной и досуговой работе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2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3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Начальник отдела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4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5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6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Старший воспитатель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7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8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9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Младший воспитатель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A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2,3 ставки на 80 человек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B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C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Воспитатель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D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из расчета 2 ставки воспитателя на каждый отряд детей (не более 32 человек), на каждые два-три отряда 1 ставка подменного воспитателя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E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F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Педагог дополнительного образования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0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sz w:val="24"/>
              </w:rPr>
              <w:t>1 ставка из расчета 18 часов в неделю. Общее количество ставок определяется в соответствии с учебным планом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1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2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Инструктор по физической культуре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3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до 280детей не менее 1 ставки, от 281 до 530 детей не менее 2 ставок, от 531 до 630 детей не менее 3 ставок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4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5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Педагог- организатор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6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7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8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Старший вожатый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9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A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B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Вожатый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C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из расчета 2 ставки вожатого на каждый отряд детей (не более 32 человек), на каждые два-три отряда 1 ставка подменного вожатого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D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E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Социальный педагог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F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0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1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Педагог-психолог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2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3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Отдел по учебно-воспитательной работе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4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5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Методист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6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7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8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Учитель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9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 1  ставка из расчета 18 часов в неделю. Общее кол-во ставок определяется в соответствии с учебным планом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A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B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Педагог библиотекарь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C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D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E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Лаборант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F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0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1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Тьютор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2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 ставка на 20 человек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3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Эксплуатационно-техническая служба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4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5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Инженер-энергетик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6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7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8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Инженер-сметчик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9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0,5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A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B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Специалист по комплексной безопасности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C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D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E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Специалист по охране труда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F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0,5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0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1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Технолог по очистным сооружениям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2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3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4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Программист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5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6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7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Механик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8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9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A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Звукооператор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B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C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D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Столяр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E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F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0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Слесарь-сантехник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1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45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2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3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Рабочий по комплексному обслуживанию </w:t>
            </w:r>
            <w:r>
              <w:rPr>
                <w:rFonts w:ascii="PT Astra Serif" w:hAnsi="PT Astra Serif"/>
                <w:b w:val="0"/>
                <w:sz w:val="24"/>
              </w:rPr>
              <w:br/>
            </w:r>
            <w:r>
              <w:rPr>
                <w:rFonts w:ascii="PT Astra Serif" w:hAnsi="PT Astra Serif"/>
                <w:b w:val="0"/>
                <w:sz w:val="24"/>
              </w:rPr>
              <w:t>и ремонту зданий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4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5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6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Оператор хлораторной установки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7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 ставки на 1 хлораторную установку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8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9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Оператор газовой котельной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A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B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C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Оператор очистных сооружений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D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E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F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Подсобный рабочий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0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1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2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Дворник (при отсутствии договора на аутсорсинг)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3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5,5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4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5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Водитель автомобиля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6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при наличии 1 ставки на 1 автомобиль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7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8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Тракторист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9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при наличии 1 ставки на 1 </w:t>
            </w:r>
            <w:r>
              <w:rPr>
                <w:rFonts w:ascii="PT Astra Serif" w:hAnsi="PT Astra Serif"/>
                <w:b w:val="0"/>
                <w:sz w:val="24"/>
              </w:rPr>
              <w:t>трактор</w:t>
            </w:r>
          </w:p>
        </w:tc>
      </w:tr>
      <w:tr>
        <w:trPr>
          <w:trHeight w:hRule="atLeast" w:val="45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A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B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Электромонтер по обслуживанию </w:t>
            </w:r>
            <w:r>
              <w:rPr>
                <w:rFonts w:ascii="PT Astra Serif" w:hAnsi="PT Astra Serif"/>
                <w:b w:val="0"/>
                <w:sz w:val="24"/>
              </w:rPr>
              <w:br/>
            </w:r>
            <w:r>
              <w:rPr>
                <w:rFonts w:ascii="PT Astra Serif" w:hAnsi="PT Astra Serif"/>
                <w:b w:val="0"/>
                <w:sz w:val="24"/>
              </w:rPr>
              <w:t>и ремонту электрооборудования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C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450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D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E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Садовник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F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 (с 1 апреля по 31 октября)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0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1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Инженер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2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3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4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Инженер-программист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5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6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Медико-санитарная служба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7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8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Врач педиатр или фельдшер 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9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A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B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Медицинская сестра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C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D00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E00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Уборщик служебных помещений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F00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0,5</w:t>
            </w:r>
          </w:p>
        </w:tc>
      </w:tr>
      <w:tr>
        <w:trPr>
          <w:trHeight w:hRule="atLeast" w:val="225"/>
        </w:trPr>
        <w:tc>
          <w:tcPr>
            <w:tcW w:type="dxa" w:w="92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0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Служба общественного питания</w:t>
            </w:r>
          </w:p>
          <w:p w14:paraId="01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 (при отсутствии договора на аутсорсинг)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2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3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Заведующий производством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4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5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72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6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Технолог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7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8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73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9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Калькулятор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A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B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74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C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Повар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D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6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E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75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F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Кондитер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0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1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76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2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Машинист посудомоечной машины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3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3,5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4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77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5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Грузчик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6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7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78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8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Кухонный рабочий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9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A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</w:t>
            </w:r>
            <w:r>
              <w:rPr>
                <w:rFonts w:ascii="PT Astra Serif" w:hAnsi="PT Astra Serif"/>
                <w:b w:val="0"/>
                <w:sz w:val="24"/>
              </w:rPr>
              <w:t>9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B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Администратор зала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C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</w:tr>
      <w:tr>
        <w:trPr>
          <w:trHeight w:hRule="atLeast" w:val="301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D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80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E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Style w:val="Style_4_ch"/>
                <w:rFonts w:ascii="PT Astra Serif" w:hAnsi="PT Astra Serif"/>
                <w:b w:val="0"/>
                <w:sz w:val="24"/>
              </w:rPr>
              <w:t>Официант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F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5</w:t>
            </w:r>
          </w:p>
        </w:tc>
      </w:tr>
      <w:tr>
        <w:trPr>
          <w:trHeight w:hRule="atLeast" w:val="225"/>
        </w:trPr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0010000">
            <w:pPr>
              <w:pStyle w:val="Style_3"/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81</w:t>
            </w:r>
          </w:p>
        </w:tc>
        <w:tc>
          <w:tcPr>
            <w:tcW w:type="dxa" w:w="6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1010000">
            <w:pPr>
              <w:spacing w:after="0" w:before="0" w:line="240" w:lineRule="auto"/>
              <w:ind/>
              <w:rPr>
                <w:rFonts w:ascii="PT Astra Serif" w:hAnsi="PT Astra Serif"/>
                <w:b w:val="0"/>
                <w:sz w:val="24"/>
              </w:rPr>
            </w:pPr>
            <w:r>
              <w:rPr>
                <w:rStyle w:val="Style_4_ch"/>
                <w:rFonts w:ascii="PT Astra Serif" w:hAnsi="PT Astra Serif"/>
                <w:b w:val="0"/>
                <w:sz w:val="24"/>
              </w:rPr>
              <w:t>Заведующий складом</w:t>
            </w:r>
          </w:p>
        </w:tc>
        <w:tc>
          <w:tcPr>
            <w:tcW w:type="dxa" w:w="1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2010000">
            <w:p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</w:tr>
    </w:tbl>
    <w:p w14:paraId="23010000">
      <w:pPr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b w:val="0"/>
          <w:sz w:val="24"/>
        </w:rPr>
      </w:pPr>
    </w:p>
    <w:p w14:paraId="24010000">
      <w:pPr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Вр-2217386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Balloon Text"/>
    <w:basedOn w:val="Style_5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  <w:rPr>
      <w:color w:val="000000"/>
    </w:rPr>
  </w:style>
  <w:style w:styleId="Style_3_ch" w:type="character">
    <w:name w:val="List Paragraph"/>
    <w:basedOn w:val="Style_5_ch"/>
    <w:link w:val="Style_3"/>
    <w:rPr>
      <w:color w:val="000000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er"/>
    <w:basedOn w:val="Style_5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header"/>
    <w:basedOn w:val="Style_5_ch"/>
    <w:link w:val="Style_27"/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2025-11-06T05:12:03Z</dcterms:modified>
</cp:coreProperties>
</file>