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02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3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4000000">
      <w:pPr>
        <w:widowControl w:val="0"/>
        <w:spacing w:after="0" w:line="240" w:lineRule="auto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31.10.2025 № 9326-П</w:t>
      </w:r>
    </w:p>
    <w:p w14:paraId="05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</w:p>
    <w:p w14:paraId="06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14:paraId="07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муниципальной программе</w:t>
      </w:r>
    </w:p>
    <w:p w14:paraId="08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</w:t>
      </w:r>
    </w:p>
    <w:p w14:paraId="09000000">
      <w:pPr>
        <w:pStyle w:val="Style_1"/>
        <w:ind w:firstLine="0" w:left="10772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2025-2030 годы</w:t>
      </w:r>
    </w:p>
    <w:p w14:paraId="0A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B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C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D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E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«Развитие образования в городе Магнитогорске» на 2025-2030 годы</w:t>
      </w:r>
    </w:p>
    <w:p w14:paraId="0F00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1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685"/>
        <w:gridCol w:w="3034"/>
        <w:gridCol w:w="8238"/>
      </w:tblGrid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города, курирующий социальные вопросы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2025-2030 годы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0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 1. Создание условий для эффективного развития образования, направленного на обеспечение доступности качественного образования, соответствующего </w:t>
            </w:r>
            <w:r>
              <w:rPr>
                <w:rFonts w:ascii="Times New Roman" w:hAnsi="Times New Roman"/>
                <w:sz w:val="24"/>
              </w:rPr>
              <w:t xml:space="preserve">требованиям современного инновационного социально ориентированного развития города Магнитогорска; </w:t>
            </w:r>
            <w:r>
              <w:rPr>
                <w:rFonts w:ascii="Times New Roman" w:hAnsi="Times New Roman"/>
                <w:sz w:val="24"/>
              </w:rPr>
              <w:t>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всех видов и уровней;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повышение уровня доступности приоритетных объектов и услуг в </w:t>
            </w:r>
            <w:r>
              <w:rPr>
                <w:rFonts w:ascii="Times New Roman" w:hAnsi="Times New Roman"/>
                <w:sz w:val="24"/>
              </w:rPr>
              <w:t>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</w:t>
            </w:r>
            <w:r>
              <w:rPr>
                <w:rFonts w:ascii="Times New Roman" w:hAnsi="Times New Roman"/>
                <w:sz w:val="24"/>
              </w:rPr>
              <w:t xml:space="preserve">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государственной политики в сфере культуры, искусства, а также в </w:t>
            </w:r>
            <w:r>
              <w:rPr>
                <w:rFonts w:ascii="Times New Roman" w:hAnsi="Times New Roman"/>
                <w:sz w:val="24"/>
              </w:rPr>
              <w:t>области образования в сфере культуры и искусства</w:t>
            </w:r>
          </w:p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К 2030 году улучшена инфраструктура детских садов посредством адресного строительства и капитального ремонта детских садов с выявленной потребностью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2. </w:t>
            </w:r>
          </w:p>
          <w:p w14:paraId="20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3.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4. Обновление образовательной инфраструктуры, позволяющей детям и молодёжи развивать свои способности и таланты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5. 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6.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7.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8.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9.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10. Обеспечение для детей в возрасте от 5 до 18 лет доступных для </w:t>
            </w:r>
            <w:r>
              <w:rPr>
                <w:rFonts w:ascii="Times New Roman" w:hAnsi="Times New Roman"/>
                <w:sz w:val="24"/>
              </w:rPr>
              <w:t>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12.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инновационных технологий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13.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14. Социальное, культурное, духовное и физическое развитие молодежи, проживающей на территории города Магнитогорска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15.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16.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17.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18.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spacing w:after="120" w:before="120"/>
              <w:ind w:firstLine="0" w:left="120" w:right="12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59 402 266,97</w:t>
            </w:r>
          </w:p>
        </w:tc>
      </w:tr>
      <w:tr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127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«Развитие образования в Челябинской области», утвержденная постановлением Правительства Челябинской области от 28.12.2017 № 732-П.</w:t>
            </w:r>
          </w:p>
          <w:p w14:paraId="3C00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программа Челябинской области «Повышение эффективности реализации молодежной политики в Челябинской области», утвержденная постановлением Правительства Челябинской области от 30.12.2020 г. № 780-П</w:t>
            </w:r>
          </w:p>
        </w:tc>
      </w:tr>
    </w:tbl>
    <w:p w14:paraId="3D000000">
      <w:pPr>
        <w:pStyle w:val="Style_1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3E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3F000000">
      <w:pPr>
        <w:pStyle w:val="Style_1"/>
        <w:ind/>
        <w:jc w:val="center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93"/>
        <w:gridCol w:w="3221"/>
        <w:gridCol w:w="1259"/>
        <w:gridCol w:w="2240"/>
        <w:gridCol w:w="909"/>
        <w:gridCol w:w="850"/>
        <w:gridCol w:w="851"/>
        <w:gridCol w:w="850"/>
        <w:gridCol w:w="851"/>
        <w:gridCol w:w="780"/>
        <w:gridCol w:w="2372"/>
      </w:tblGrid>
      <w:tr>
        <w:tc>
          <w:tcPr>
            <w:tcW w:type="dxa" w:w="7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2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достижение показателя </w:t>
            </w:r>
          </w:p>
        </w:tc>
      </w:tr>
      <w:tr>
        <w:tc>
          <w:tcPr>
            <w:tcW w:type="dxa" w:w="7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Цель муниципальной программы «Создание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города Магнитогорска; </w:t>
            </w:r>
            <w:r>
              <w:rPr>
                <w:rFonts w:ascii="Times New Roman" w:hAnsi="Times New Roman"/>
                <w:sz w:val="24"/>
              </w:rPr>
              <w:t>развитие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кадров; предоставление равных возможностей для получения гражданами качественного образования всех видов и уровней;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городе Магнитогорске; создание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города Магнитогорска, содействие социальному, культурному, духовному и физическому развитию молодежи, проживающей на территории города Магнитогорска;</w:t>
            </w:r>
            <w:r>
              <w:rPr>
                <w:rFonts w:ascii="Times New Roman" w:hAnsi="Times New Roman"/>
                <w:sz w:val="24"/>
              </w:rPr>
              <w:t xml:space="preserve"> создание условий для эффективного развития системы профилактики безнадзорности и правонарушений несовершеннолетних; реализация на территории Челябинской области государственной политики в сфере культуры, искусства, а также в области образования в сфере культуры и искусства»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89,4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89,5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11,3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людей, участвующих в проектах и </w:t>
            </w:r>
            <w:r>
              <w:rPr>
                <w:rFonts w:ascii="Times New Roman" w:hAnsi="Times New Roman"/>
                <w:sz w:val="24"/>
              </w:rPr>
              <w:t>программах, направленных на патриотическое воспитание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56,18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60,88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Служба внешних связей и молодежной </w:t>
            </w:r>
            <w:r>
              <w:rPr>
                <w:rFonts w:ascii="Times New Roman" w:hAnsi="Times New Roman"/>
                <w:sz w:val="24"/>
              </w:rPr>
              <w:t>политики администрации города Магнитогорска</w:t>
            </w:r>
          </w:p>
        </w:tc>
      </w:tr>
      <w:tr>
        <w:tc>
          <w:tcPr>
            <w:tcW w:type="dxa" w:w="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2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85000000">
      <w:pPr>
        <w:pStyle w:val="Style_1"/>
        <w:ind/>
        <w:jc w:val="center"/>
        <w:rPr>
          <w:rFonts w:ascii="Times New Roman" w:hAnsi="Times New Roman"/>
          <w:sz w:val="24"/>
        </w:rPr>
      </w:pPr>
      <w:bookmarkStart w:id="1" w:name="P688"/>
      <w:bookmarkEnd w:id="1"/>
    </w:p>
    <w:p w14:paraId="86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муниципальной программы в 2025 году</w:t>
      </w:r>
    </w:p>
    <w:p w14:paraId="87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людей, занимающихся добровольческой (волонтерской) </w:t>
            </w:r>
            <w:r>
              <w:rPr>
                <w:rFonts w:ascii="Times New Roman" w:hAnsi="Times New Roman"/>
                <w:sz w:val="24"/>
              </w:rPr>
              <w:t>деятельностью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E6000000">
      <w:pPr>
        <w:pStyle w:val="Style_1"/>
        <w:ind/>
        <w:jc w:val="both"/>
        <w:rPr>
          <w:rFonts w:ascii="Times New Roman" w:hAnsi="Times New Roman"/>
          <w:sz w:val="24"/>
        </w:rPr>
      </w:pPr>
      <w:bookmarkStart w:id="2" w:name="P804"/>
      <w:bookmarkEnd w:id="2"/>
    </w:p>
    <w:p w14:paraId="E700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муниципальной программы в 2026 году</w:t>
      </w:r>
    </w:p>
    <w:p w14:paraId="E800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10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417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89,1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молодых людей, участвующих в проектах и программах, направленных на патриотическое воспитание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51,47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4701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48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49010000">
      <w:pPr>
        <w:pStyle w:val="Style_1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0"/>
        <w:gridCol w:w="5802"/>
        <w:gridCol w:w="5288"/>
        <w:gridCol w:w="3187"/>
      </w:tblGrid>
      <w:tr>
        <w:trPr>
          <w:tblHeader/>
        </w:trP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 муниципальной программы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«Дошкольное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Региональный проект «Поддержка семьи»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(2026 год)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К 2030 году улучшена инфраструктура </w:t>
            </w:r>
            <w:r>
              <w:rPr>
                <w:rFonts w:ascii="Times New Roman" w:hAnsi="Times New Roman"/>
                <w:sz w:val="24"/>
              </w:rPr>
              <w:t>детских садов посредством адресного строительства и капитального ремонта детских садов с выявленной потребностью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инфраструктуры детских садов </w:t>
            </w:r>
            <w:r>
              <w:rPr>
                <w:rFonts w:ascii="Times New Roman" w:hAnsi="Times New Roman"/>
                <w:sz w:val="24"/>
              </w:rPr>
              <w:t>посредством адресного строительства и капитального ремонта детских садов с выявленной потребностью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</w:t>
            </w:r>
            <w:r>
              <w:rPr>
                <w:rFonts w:ascii="Times New Roman" w:hAnsi="Times New Roman"/>
                <w:sz w:val="24"/>
              </w:rPr>
              <w:t>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Комплекс процессных мероприятий «Организация и предоставление дошкольного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Комплекс процессных мероприятий «Поддержка и развитие дошкольных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образования от общего количества детей и молодежи </w:t>
            </w:r>
            <w:r>
              <w:rPr>
                <w:rFonts w:ascii="Times New Roman" w:hAnsi="Times New Roman"/>
                <w:sz w:val="24"/>
              </w:rPr>
              <w:t>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«Общее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Региональный проект «Все лучшее детям»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(2025-2027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Обновление образовательной инфраструктуры, позволяющей детям и молодёжи развивать свои способности и таланты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средств обучения и воспитания для кабинетов труда и ОБЗР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 Региональный проект «Педагоги и наставники»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Привлечение педагогов в школы,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организаций. Обеспечение привлечения квалифицированных кадров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 Комплекс процессных мероприятий «Организация и предоставление общего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 Комплекс процессных мероприятий «Поддержка и развитие общеобразовательных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«Дополнительное образование»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 Комплекс процессных мероприятий «Организация и предоставление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Организация и предоставление </w:t>
            </w:r>
            <w:r>
              <w:rPr>
                <w:rFonts w:ascii="Times New Roman" w:hAnsi="Times New Roman"/>
                <w:sz w:val="24"/>
              </w:rPr>
              <w:t>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предоставление дополнительного </w:t>
            </w:r>
            <w:r>
              <w:rPr>
                <w:rFonts w:ascii="Times New Roman" w:hAnsi="Times New Roman"/>
                <w:sz w:val="24"/>
              </w:rPr>
              <w:t>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</w:t>
            </w:r>
            <w:r>
              <w:rPr>
                <w:rFonts w:ascii="Times New Roman" w:hAnsi="Times New Roman"/>
                <w:sz w:val="24"/>
              </w:rPr>
              <w:t>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 Комплекс процессных мероприятий «Организация и предоставление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Созданы условия для получения доступного и качественного дополнительного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 Комплекс процессных мероприятий «Поддержка и развитие учреждений дополнительного образования в сфере образования»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Обеспечение для детей в возрасте от 5 до 18 лет доступных для каждого и качественных условий в </w:t>
            </w:r>
            <w:r>
              <w:rPr>
                <w:rFonts w:ascii="Times New Roman" w:hAnsi="Times New Roman"/>
                <w:sz w:val="24"/>
              </w:rPr>
              <w:t>учреждениях дополнительного образования в сфере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для детей в возрасте от 5 до 18 лет доступных для каждого и качественных условий </w:t>
            </w:r>
            <w:r>
              <w:rPr>
                <w:rFonts w:ascii="Times New Roman" w:hAnsi="Times New Roman"/>
                <w:sz w:val="24"/>
              </w:rPr>
              <w:t>в учреждениях дополнительного образования в сфере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</w:t>
            </w:r>
            <w:r>
              <w:rPr>
                <w:rFonts w:ascii="Times New Roman" w:hAnsi="Times New Roman"/>
                <w:sz w:val="24"/>
              </w:rPr>
              <w:t>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 Комплекс процессных мероприятий «Поддержка и развитие учреждений дополнительного образования в сфере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культуры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Поддержка и развитие учреждений дополнительного образования в сфере культуры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творческой активности детей, оказание поддержки обучающимся и их педагогам-наставникам за высокие достижения в области культуры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«Отдых и оздоровление детей»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 Региональный проект «Семейные ценности и инфраструктура культуры»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(2025-2026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 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</w:t>
            </w:r>
            <w:r>
              <w:rPr>
                <w:rFonts w:ascii="Times New Roman" w:hAnsi="Times New Roman"/>
                <w:sz w:val="24"/>
              </w:rPr>
              <w:t>инновационных технологий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Приобщение участников лагеря к историческому и культурному военно-историческому наследию России, сохранение, пропаганда и распространение военно-исторических знаний с учетом современных информационных и </w:t>
            </w:r>
            <w:r>
              <w:rPr>
                <w:rFonts w:ascii="Times New Roman" w:hAnsi="Times New Roman"/>
                <w:sz w:val="24"/>
              </w:rPr>
              <w:t>инновационных технологий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образования от общего </w:t>
            </w:r>
            <w:r>
              <w:rPr>
                <w:rFonts w:ascii="Times New Roman" w:hAnsi="Times New Roman"/>
                <w:sz w:val="24"/>
              </w:rPr>
              <w:t>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 Комплекс процессных мероприятий «Отдых и оздоровление детей»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«Реализация молодёжной политики»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Региональный проект «Мы вместе (Воспитание гармонично развитой личности)»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5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Социальное, культурное, духовное и физическое развитие молодежи, проживающей на территории города Магнитогорска</w:t>
            </w:r>
          </w:p>
        </w:tc>
        <w:tc>
          <w:tcPr>
            <w:tcW w:type="dxa" w:w="5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реального участия молодежи города Магнитогорска в мероприятиях, направленных на социальное, культурное, духовное и физическое развитие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людей, занимающихся добровольческой (волонтерской) деятельностью</w:t>
            </w:r>
          </w:p>
        </w:tc>
      </w:tr>
      <w:tr>
        <w:tc>
          <w:tcPr>
            <w:tcW w:type="dxa" w:w="8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молодых людей, участвующих в проектах и программах, направленных </w:t>
            </w:r>
            <w:r>
              <w:rPr>
                <w:rFonts w:ascii="Times New Roman" w:hAnsi="Times New Roman"/>
                <w:sz w:val="24"/>
              </w:rPr>
              <w:t>на патриотическое воспитание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«Молодежь Магнитки»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Служба внешних связей и молодежной политики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Создать условия для привлечения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6 «Сопровождение деятельности образовательных учреждений»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 Комплекс процессных мероприятий «Сопровождение деятельности образовательных учреждений»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охваченных услугами дошкольного, общего и дополнительного образования от общего количества детей и молодежи </w:t>
            </w:r>
            <w:r>
              <w:rPr>
                <w:rFonts w:ascii="Times New Roman" w:hAnsi="Times New Roman"/>
                <w:sz w:val="24"/>
              </w:rPr>
              <w:t>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 Комплекс процессных мероприятий «Развитие образовательной среды»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Развитие образовательной среды, обеспечивающей повышение качества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образовательной среды, обеспечивающей повышение качества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  <w:tr>
        <w:tc>
          <w:tcPr>
            <w:tcW w:type="dxa" w:w="15117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6.3. Комплекс процессных мероприятий «Обеспечение </w:t>
            </w:r>
            <w:r>
              <w:rPr>
                <w:rFonts w:ascii="Times New Roman" w:hAnsi="Times New Roman"/>
                <w:sz w:val="24"/>
              </w:rPr>
              <w:t>функционирования Управления образования администрации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c>
          <w:tcPr>
            <w:tcW w:type="dxa" w:w="664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  <w:r>
              <w:rPr>
                <w:rFonts w:ascii="Times New Roman" w:hAnsi="Times New Roman"/>
                <w:sz w:val="24"/>
              </w:rPr>
              <w:t xml:space="preserve"> за реализацию (наименование): Управление образования администрации города Магнитогорска</w:t>
            </w:r>
          </w:p>
        </w:tc>
        <w:tc>
          <w:tcPr>
            <w:tcW w:type="dxa" w:w="847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(2025-2030 годы)</w:t>
            </w:r>
          </w:p>
        </w:tc>
      </w:tr>
      <w:tr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6.3.1.</w:t>
            </w:r>
          </w:p>
        </w:tc>
        <w:tc>
          <w:tcPr>
            <w:tcW w:type="dxa" w:w="5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5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  <w:tc>
          <w:tcPr>
            <w:tcW w:type="dxa" w:w="31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pStyle w:val="Style_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охваченных услугами дошкольного, общего и дополнительного образования от общего количества детей и молодежи в возрасте от 1 года до 18 лет</w:t>
            </w:r>
          </w:p>
        </w:tc>
      </w:tr>
    </w:tbl>
    <w:p w14:paraId="D7010000">
      <w:pPr>
        <w:pStyle w:val="Style_1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D8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  <w:bookmarkStart w:id="3" w:name="P877"/>
      <w:bookmarkEnd w:id="3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D9010000">
      <w:pPr>
        <w:pStyle w:val="Style_1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jc w:val="center"/>
        <w:tblInd w:type="dxa" w:w="0"/>
        <w:tblLayout w:type="fixed"/>
      </w:tblPr>
      <w:tblGrid>
        <w:gridCol w:w="3481"/>
        <w:gridCol w:w="1596"/>
        <w:gridCol w:w="1596"/>
        <w:gridCol w:w="1596"/>
        <w:gridCol w:w="1535"/>
        <w:gridCol w:w="1547"/>
        <w:gridCol w:w="1535"/>
        <w:gridCol w:w="2196"/>
      </w:tblGrid>
      <w:tr>
        <w:trPr>
          <w:trHeight w:hRule="atLeast" w:val="200"/>
        </w:trPr>
        <w:tc>
          <w:tcPr>
            <w:tcW w:type="dxa" w:w="34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10000">
            <w:pPr>
              <w:pStyle w:val="Style_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285"/>
        </w:trP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10 467 016,58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10 154 180,66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10 058 801,66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E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9 277 582,12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0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9 564 845,48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1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9 879 840,47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2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59 402 266,97</w:t>
            </w:r>
          </w:p>
        </w:tc>
      </w:tr>
      <w:tr>
        <w:trPr>
          <w:trHeight w:hRule="atLeast" w:val="255"/>
        </w:trP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4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468 611,20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5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441 619,31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6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404 825,14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7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8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9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A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1 315 055,65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1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C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6 669 254,80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D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6 440 165,91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E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6 381 344,81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FF0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6 362 270,53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6 362 270,53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6 362 270,53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38 577 577,11</w:t>
            </w:r>
          </w:p>
        </w:tc>
      </w:tr>
      <w:tr>
        <w:trPr>
          <w:trHeight w:hRule="atLeast" w:val="446"/>
        </w:trP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3 329 150,58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3 272 395,44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3 272 631,71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7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2 915 311,59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3 202 574,95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3 517 569,94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19 509 634,21</w:t>
            </w:r>
          </w:p>
        </w:tc>
      </w:tr>
      <w:t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F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rPr>
          <w:trHeight w:hRule="atLeast" w:val="200"/>
        </w:trPr>
        <w:tc>
          <w:tcPr>
            <w:tcW w:type="dxa" w:w="3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20000">
            <w:pPr>
              <w:pStyle w:val="Style_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4020000">
            <w:pPr>
              <w:pStyle w:val="Style_4"/>
              <w:spacing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5020000">
            <w:pPr>
              <w:pStyle w:val="Style_4"/>
              <w:spacing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6020000">
            <w:pPr>
              <w:pStyle w:val="Style_4"/>
              <w:spacing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7020000">
            <w:pPr>
              <w:pStyle w:val="Style_4"/>
              <w:spacing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8020000">
            <w:pPr>
              <w:pStyle w:val="Style_4"/>
              <w:spacing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9020000">
            <w:pPr>
              <w:pStyle w:val="Style_4"/>
              <w:spacing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21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A020000">
            <w:pPr>
              <w:pStyle w:val="Style_4"/>
              <w:spacing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  <w:bookmarkStart w:id="4" w:name="_GoBack"/>
            <w:bookmarkEnd w:id="4"/>
          </w:p>
        </w:tc>
      </w:tr>
    </w:tbl>
    <w:p w14:paraId="1B020000">
      <w:pPr>
        <w:spacing w:after="0" w:line="240" w:lineRule="auto"/>
        <w:ind/>
        <w:rPr>
          <w:sz w:val="24"/>
        </w:rPr>
      </w:pPr>
    </w:p>
    <w:sectPr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2"/>
    <w:link w:val="Style_10_ch"/>
  </w:style>
  <w:style w:styleId="Style_10_ch" w:type="character">
    <w:name w:val="Основной шрифт абзаца2"/>
    <w:link w:val="Style_10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Знак примечания1"/>
    <w:basedOn w:val="Style_14"/>
    <w:link w:val="Style_13_ch"/>
    <w:rPr>
      <w:sz w:val="16"/>
    </w:rPr>
  </w:style>
  <w:style w:styleId="Style_13_ch" w:type="character">
    <w:name w:val="Знак примечания1"/>
    <w:basedOn w:val="Style_14_ch"/>
    <w:link w:val="Style_13"/>
    <w:rPr>
      <w:sz w:val="16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header"/>
    <w:basedOn w:val="Style_4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header"/>
    <w:basedOn w:val="Style_4_ch"/>
    <w:link w:val="Style_16"/>
  </w:style>
  <w:style w:styleId="Style_17" w:type="paragraph">
    <w:name w:val="annotation subject"/>
    <w:basedOn w:val="Style_18"/>
    <w:next w:val="Style_18"/>
    <w:link w:val="Style_17_ch"/>
    <w:rPr>
      <w:b w:val="1"/>
    </w:rPr>
  </w:style>
  <w:style w:styleId="Style_17_ch" w:type="character">
    <w:name w:val="annotation subject"/>
    <w:basedOn w:val="Style_18_ch"/>
    <w:link w:val="Style_17"/>
    <w:rPr>
      <w:b w:val="1"/>
    </w:rPr>
  </w:style>
  <w:style w:styleId="Style_19" w:type="paragraph">
    <w:name w:val="footer"/>
    <w:basedOn w:val="Style_4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footer"/>
    <w:basedOn w:val="Style_4_ch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3"/>
    <w:next w:val="Style_4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18" w:type="paragraph">
    <w:name w:val="annotation text"/>
    <w:basedOn w:val="Style_4"/>
    <w:link w:val="Style_18_ch"/>
    <w:pPr>
      <w:spacing w:line="240" w:lineRule="auto"/>
      <w:ind/>
    </w:pPr>
    <w:rPr>
      <w:sz w:val="20"/>
    </w:rPr>
  </w:style>
  <w:style w:styleId="Style_18_ch" w:type="character">
    <w:name w:val="annotation text"/>
    <w:basedOn w:val="Style_4_ch"/>
    <w:link w:val="Style_18"/>
    <w:rPr>
      <w:sz w:val="20"/>
    </w:rPr>
  </w:style>
  <w:style w:styleId="Style_22" w:type="paragraph">
    <w:name w:val="Гиперссылка2"/>
    <w:link w:val="Style_22_ch"/>
    <w:rPr>
      <w:color w:val="0000FF"/>
      <w:u w:val="single"/>
    </w:rPr>
  </w:style>
  <w:style w:styleId="Style_22_ch" w:type="character">
    <w:name w:val="Гиперссылка2"/>
    <w:link w:val="Style_22"/>
    <w:rPr>
      <w:color w:val="0000FF"/>
      <w:u w:val="single"/>
    </w:rPr>
  </w:style>
  <w:style w:styleId="Style_23" w:type="paragraph">
    <w:name w:val="heading 5"/>
    <w:next w:val="Style_4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24" w:type="paragraph">
    <w:name w:val="heading 1"/>
    <w:next w:val="Style_4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toc 1"/>
    <w:next w:val="Style_4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4"/>
    <w:link w:val="Style_29_ch"/>
    <w:uiPriority w:val="39"/>
    <w:pPr>
      <w:ind w:firstLine="0" w:left="1600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toc 8"/>
    <w:next w:val="Style_4"/>
    <w:link w:val="Style_30_ch"/>
    <w:uiPriority w:val="39"/>
    <w:pPr>
      <w:ind w:firstLine="0"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</w:style>
  <w:style w:styleId="Style_31_ch" w:type="character">
    <w:name w:val="Обычный1"/>
    <w:link w:val="Style_31"/>
  </w:style>
  <w:style w:styleId="Style_32" w:type="paragraph">
    <w:name w:val="Balloon Text"/>
    <w:basedOn w:val="Style_4"/>
    <w:link w:val="Style_32_ch"/>
    <w:pPr>
      <w:spacing w:after="0" w:line="240" w:lineRule="auto"/>
      <w:ind/>
    </w:pPr>
    <w:rPr>
      <w:rFonts w:ascii="Segoe UI" w:hAnsi="Segoe UI"/>
      <w:sz w:val="18"/>
    </w:rPr>
  </w:style>
  <w:style w:styleId="Style_32_ch" w:type="character">
    <w:name w:val="Balloon Text"/>
    <w:basedOn w:val="Style_4_ch"/>
    <w:link w:val="Style_32"/>
    <w:rPr>
      <w:rFonts w:ascii="Segoe UI" w:hAnsi="Segoe UI"/>
      <w:sz w:val="18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33" w:type="paragraph">
    <w:name w:val="toc 5"/>
    <w:next w:val="Style_4"/>
    <w:link w:val="Style_33_ch"/>
    <w:uiPriority w:val="39"/>
    <w:pPr>
      <w:ind w:firstLine="0" w:left="800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Subtitle"/>
    <w:next w:val="Style_4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4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4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37" w:type="paragraph">
    <w:name w:val="heading 2"/>
    <w:next w:val="Style_4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2025-11-06T05:04:05Z</dcterms:modified>
</cp:coreProperties>
</file>