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2250" w:val="left"/>
        </w:tabs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4</w:t>
      </w:r>
    </w:p>
    <w:p w14:paraId="02000000">
      <w:pPr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постановлению администрации </w:t>
      </w:r>
    </w:p>
    <w:p w14:paraId="03000000">
      <w:pPr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</w:t>
      </w:r>
      <w:r>
        <w:rPr>
          <w:rFonts w:ascii="Times New Roman" w:hAnsi="Times New Roman"/>
        </w:rPr>
        <w:t xml:space="preserve"> Магнитогорска</w:t>
      </w:r>
    </w:p>
    <w:p w14:paraId="04000000">
      <w:pPr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31.10.2025 № 9305-П</w:t>
      </w:r>
    </w:p>
    <w:p w14:paraId="05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</w:p>
    <w:p w14:paraId="06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14:paraId="07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8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</w:t>
      </w:r>
    </w:p>
    <w:p w14:paraId="09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и социальная поддержка</w:t>
      </w:r>
    </w:p>
    <w:p w14:paraId="0A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жителей города Магнитогорска»</w:t>
      </w:r>
    </w:p>
    <w:p w14:paraId="0B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C00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color w:themeColor="text1" w:val="000000"/>
        </w:rPr>
      </w:pPr>
    </w:p>
    <w:p w14:paraId="0D00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color w:themeColor="text1" w:val="000000"/>
        </w:rPr>
      </w:pPr>
    </w:p>
    <w:p w14:paraId="0E00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color w:themeColor="text1" w:val="000000"/>
        </w:rPr>
      </w:pPr>
    </w:p>
    <w:p w14:paraId="0F00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color w:themeColor="text1" w:val="000000"/>
        </w:rPr>
        <w:t>Методика расчета и источники информации</w:t>
      </w:r>
    </w:p>
    <w:p w14:paraId="10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color w:themeColor="text1" w:val="000000"/>
        </w:rPr>
        <w:t>о значениях целевых показателей муниципальной программы,</w:t>
      </w:r>
    </w:p>
    <w:p w14:paraId="11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color w:themeColor="text1" w:val="000000"/>
        </w:rPr>
        <w:t>показателей структурных элементов</w:t>
      </w:r>
    </w:p>
    <w:p w14:paraId="12000000">
      <w:pPr>
        <w:pStyle w:val="Style_2"/>
        <w:spacing w:after="0" w:before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«Социальное обслуживание и социальная поддержка жителей города Магнитогорска»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на 2025 – 2030 годы</w:t>
      </w:r>
    </w:p>
    <w:p w14:paraId="13000000">
      <w:pPr>
        <w:pStyle w:val="Style_3"/>
        <w:spacing w:after="0"/>
        <w:ind/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418"/>
        <w:gridCol w:w="4394"/>
        <w:gridCol w:w="1843"/>
        <w:gridCol w:w="4819"/>
        <w:gridCol w:w="3686"/>
      </w:tblGrid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00000">
            <w:pPr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 </w:t>
            </w:r>
          </w:p>
          <w:p w14:paraId="15000000">
            <w:pPr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00000">
            <w:pPr>
              <w:widowControl w:val="0"/>
              <w:tabs>
                <w:tab w:leader="none" w:pos="2166" w:val="center"/>
                <w:tab w:leader="none" w:pos="4333" w:val="right"/>
              </w:tabs>
              <w:spacing w:after="0" w:before="0" w:line="240" w:lineRule="auto"/>
              <w:ind w:firstLine="0" w:left="-113" w:righ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Наименование показателя,</w:t>
            </w:r>
            <w:r>
              <w:rPr>
                <w:rFonts w:ascii="Times New Roman" w:hAnsi="Times New Roman"/>
              </w:rPr>
              <w:tab/>
            </w:r>
          </w:p>
          <w:p w14:paraId="17000000">
            <w:pPr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00000">
            <w:pPr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Динамика показателя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 целевого показателя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00000">
            <w:pPr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74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2"/>
              </w:rPr>
              <w:t>Муниципальная программа «Социальное обслуживание и социальная поддержка жителей города Магнитогорска»</w:t>
            </w:r>
            <w:r>
              <w:rPr>
                <w:rFonts w:ascii="Times New Roman" w:hAnsi="Times New Roman"/>
                <w:b w:val="0"/>
                <w:color w:themeColor="text1" w:val="000000"/>
                <w:sz w:val="22"/>
              </w:rPr>
              <w:br/>
            </w:r>
            <w:r>
              <w:rPr>
                <w:rFonts w:ascii="Times New Roman" w:hAnsi="Times New Roman"/>
                <w:b w:val="0"/>
                <w:color w:themeColor="text1" w:val="000000"/>
                <w:sz w:val="22"/>
              </w:rPr>
              <w:t>на 2025 – 2030 годы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законодательством, чел.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, где</w:t>
            </w:r>
          </w:p>
          <w:p w14:paraId="26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граждан, получивших меры социальной поддержки в соответствии с законодательством за отчетный период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единая информационная система социальной защиты населения Челябинской области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услугами, %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П4= </w:t>
            </w:r>
            <w:r>
              <w:rPr>
                <w:rFonts w:ascii="Times New Roman" w:hAnsi="Times New Roman"/>
                <w:sz w:val="22"/>
              </w:rPr>
              <w:t>Куд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Кпол</w:t>
            </w:r>
            <w:r>
              <w:rPr>
                <w:rFonts w:ascii="Times New Roman" w:hAnsi="Times New Roman"/>
                <w:sz w:val="22"/>
              </w:rPr>
              <w:t xml:space="preserve"> х 100%, где:</w:t>
            </w:r>
          </w:p>
          <w:p w14:paraId="2C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Куд</w:t>
            </w:r>
            <w:r>
              <w:rPr>
                <w:rFonts w:ascii="Times New Roman" w:hAnsi="Times New Roman"/>
                <w:sz w:val="22"/>
              </w:rPr>
              <w:t xml:space="preserve"> - количество удовлетворенных получателей услуг, из числа опрошенных получателей услуг;</w:t>
            </w:r>
          </w:p>
          <w:p w14:paraId="2D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Кпол</w:t>
            </w:r>
            <w:r>
              <w:rPr>
                <w:rFonts w:ascii="Times New Roman" w:hAnsi="Times New Roman"/>
                <w:sz w:val="22"/>
              </w:rPr>
              <w:t xml:space="preserve"> - количество опрошенных получателей услуг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отчетность муниципальных учреждений социального обслуживания города Магнитогорска, предоставляющих муниципальные услуги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организаций, да (1) /нет (0)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«Да» - созданы условия для деятельности социально ориентированных некоммерческих организаций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"Обеспечение социальных гарантий жителям города Магнитогорска"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«Педагоги и наставники»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педагогических работников, осуществляющих классное руководство, получивших выплаты, %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U=h/g*100</w:t>
            </w:r>
          </w:p>
          <w:p w14:paraId="3A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 - численность педагогических работников, осуществляющих классное руководство, получивших выплаты (человек);</w:t>
            </w:r>
          </w:p>
          <w:p w14:paraId="3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g- численность педагогических работников, осуществляющих классное руководство (человек)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Региональный проект</w:t>
            </w:r>
            <w:r>
              <w:rPr>
                <w:rFonts w:ascii="Times New Roman" w:hAnsi="Times New Roman"/>
                <w:b w:val="1"/>
              </w:rPr>
              <w:t xml:space="preserve"> «</w:t>
            </w:r>
            <w:r>
              <w:rPr>
                <w:rFonts w:ascii="Times New Roman" w:hAnsi="Times New Roman"/>
              </w:rPr>
              <w:t>Старшее поколение»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граждан, получивших услуги в рамках долговременного ухода, чел.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4" name="Picture 4"/>
                  <a:graphic>
                    <a:graphicData uri="http://schemas.openxmlformats.org/drawingml/2006/picture">
                      <pic:pic>
                        <pic:nvPicPr>
                          <pic:cNvPr hidden="false" id="3" name="Picture 3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, где</w:t>
            </w:r>
          </w:p>
          <w:p w14:paraId="42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количество граждан, получивших услуги в рамках долговременного ухода за отчетный период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"Меры социальной защиты жителей города Магнитогорска"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граждан, состоящих на учете в органах социальной защиты населения города Магнитогорска от общего количества населения города Магнитогорска, %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Меньше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U=h/g*100</w:t>
            </w:r>
          </w:p>
          <w:p w14:paraId="49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h-количество граждан, состоящих на учете в органах социальной защиты населения города </w:t>
            </w:r>
            <w:r>
              <w:rPr>
                <w:rFonts w:ascii="Times New Roman" w:hAnsi="Times New Roman"/>
                <w:sz w:val="22"/>
              </w:rPr>
              <w:t>Магнитогорска;</w:t>
            </w:r>
          </w:p>
          <w:p w14:paraId="4A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g-количество граждан города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Магнитогорска;</w:t>
            </w:r>
          </w:p>
          <w:p w14:paraId="4C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статистические данные </w:t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fldChar w:fldCharType="begin"/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instrText>HYPERLINK "https://internet.garant.ru/document/redirect/8766723/962"</w:instrText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fldChar w:fldCharType="separate"/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t>74.rosstat.gov.ru</w:t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fldChar w:fldCharType="end"/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t>.</w:t>
            </w:r>
          </w:p>
        </w:tc>
      </w:tr>
      <w:tr>
        <w:trPr>
          <w:trHeight w:hRule="atLeast" w:val="1131"/>
        </w:trP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Снижение количества социальных сирот в сравнении с предыдущим годом, %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U=n/y*100-100</w:t>
            </w:r>
          </w:p>
          <w:p w14:paraId="51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-количество сирот текущего года;</w:t>
            </w:r>
          </w:p>
          <w:p w14:paraId="52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y-количество сирот предыдущего года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Магнитогорска;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Магнитогорске"</w:t>
            </w:r>
          </w:p>
        </w:tc>
      </w:tr>
      <w:tr>
        <w:trPr>
          <w:trHeight w:hRule="atLeast" w:val="1402"/>
        </w:trP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лиц в возрасте от 23 </w:t>
            </w:r>
            <w:r>
              <w:rPr>
                <w:rFonts w:ascii="Times New Roman" w:hAnsi="Times New Roman"/>
                <w:sz w:val="22"/>
              </w:rPr>
              <w:t>лет и старше, в соответствии с утвержденным МСО ЧО Списком, %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U=y/g*100</w:t>
            </w:r>
          </w:p>
          <w:p w14:paraId="59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y-количество детей, оставшихся без попечения родителей, и лиц из числа детей, оставшихся без попечения родителей, обеспеченных жилыми помещениями за отчетный год, состоявших на учете на получение жилого помещения, включая ли</w:t>
            </w:r>
            <w:r>
              <w:rPr>
                <w:rFonts w:ascii="Times New Roman" w:hAnsi="Times New Roman"/>
                <w:sz w:val="22"/>
              </w:rPr>
              <w:t>ц в возрасте от 23 лет и старше;</w:t>
            </w:r>
          </w:p>
          <w:p w14:paraId="5A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g - общая численность детей, оставшихся без попечения родителей, и лиц из их числа, </w:t>
            </w:r>
            <w:r>
              <w:rPr>
                <w:rFonts w:ascii="Times New Roman" w:hAnsi="Times New Roman"/>
                <w:sz w:val="22"/>
              </w:rPr>
              <w:t xml:space="preserve">подлежащих обеспечению жилыми помещениями, включая лиц в возрасте от 23 лет и старше, в соответствии с утвержденным МСО ЧО Списком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Комитета по управлению имуществом и земельными отношениями администрации города Магнитогорска;</w:t>
            </w:r>
          </w:p>
          <w:p w14:paraId="5C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утвержденный список Министерства социальных отношений Челябинской области в соответствии с </w:t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fldChar w:fldCharType="begin"/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instrText>HYPERLINK "https://internet.garant.ru/document/redirect/10135206/0"</w:instrText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fldChar w:fldCharType="separate"/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t xml:space="preserve">Федеральным </w:t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t>законом</w:t>
            </w:r>
            <w:r>
              <w:rPr>
                <w:rStyle w:val="Style_6_ch"/>
                <w:rFonts w:ascii="Times New Roman" w:hAnsi="Times New Roman"/>
                <w:color w:themeColor="text1" w:val="000000"/>
              </w:rPr>
              <w:fldChar w:fldCharType="end"/>
            </w:r>
            <w:r>
              <w:rPr>
                <w:rFonts w:ascii="Times New Roman" w:hAnsi="Times New Roman"/>
              </w:rPr>
              <w:t xml:space="preserve"> от 21.12.1996 N 159-ФЗ "О дополнительных гарантиях по социальной поддержке детей-сирот и детей, оставшихся без попечения родителей"</w:t>
            </w:r>
          </w:p>
        </w:tc>
      </w:tr>
      <w:tr>
        <w:trPr>
          <w:trHeight w:hRule="atLeast" w:val="1402"/>
        </w:trP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Больше-лучше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= </w:t>
            </w:r>
            <w:r>
              <w:rPr>
                <w:rFonts w:ascii="Times New Roman" w:hAnsi="Times New Roman"/>
              </w:rPr>
              <w:drawing>
                <wp:inline>
                  <wp:extent cx="114300" cy="161925"/>
                  <wp:effectExtent b="0" l="0" r="0" t="0"/>
                  <wp:docPr hidden="false" id="6" name="Picture 6"/>
                  <a:graphic>
                    <a:graphicData uri="http://schemas.openxmlformats.org/drawingml/2006/picture">
                      <pic:pic>
                        <pic:nvPicPr>
                          <pic:cNvPr hidden="false" id="5" name="Picture 5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</w:t>
            </w:r>
          </w:p>
          <w:p w14:paraId="61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 за отчетный период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Комитета по управлению имуществом и земельными отношениями администрации города Магнитогорска</w:t>
            </w:r>
          </w:p>
        </w:tc>
      </w:tr>
      <w:tr>
        <w:trPr>
          <w:trHeight w:hRule="atLeast" w:val="1402"/>
        </w:trP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Больше-лучше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= </w:t>
            </w:r>
            <w:r>
              <w:rPr>
                <w:rFonts w:ascii="Times New Roman" w:hAnsi="Times New Roman"/>
              </w:rPr>
              <w:drawing>
                <wp:inline>
                  <wp:extent cx="114300" cy="161925"/>
                  <wp:effectExtent b="0" l="0" r="0" t="0"/>
                  <wp:docPr hidden="false" id="8" name="Picture 8"/>
                  <a:graphic>
                    <a:graphicData uri="http://schemas.openxmlformats.org/drawingml/2006/picture">
                      <pic:pic>
                        <pic:nvPicPr>
                          <pic:cNvPr hidden="false" id="7" name="Picture 7"/>
                          <pic:cNvPicPr preferRelativeResize="true"/>
                        </pic:nvPicPr>
                        <pic:blipFill>
                          <a:blip r:embed="rId4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</w:t>
            </w:r>
          </w:p>
          <w:p w14:paraId="67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количество приобретенных жилых помещений для обеспечения их предоставления детям- сиротам по договорам найма специализированных жилых помещений за отчетный период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Комитета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"Организация отдыха и оздоровления взрослого населения"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граждан, охваченных отдыхом и оздоровлением, чел.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10" name="Picture 10"/>
                  <a:graphic>
                    <a:graphicData uri="http://schemas.openxmlformats.org/drawingml/2006/picture">
                      <pic:pic>
                        <pic:nvPicPr>
                          <pic:cNvPr hidden="false" id="9" name="Picture 9"/>
                          <pic:cNvPicPr preferRelativeResize="true"/>
                        </pic:nvPicPr>
                        <pic:blipFill>
                          <a:blip r:embed="rId5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, где</w:t>
            </w:r>
          </w:p>
          <w:p w14:paraId="6E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количество граждан, охваченных отдыхом и оздоровлением за отчетный период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>
        <w:trPr>
          <w:trHeight w:hRule="atLeast" w:val="368"/>
        </w:trP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"Социальная поддержка для детей-сирот и детей, оставшихся без попечения родителей 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городе, %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U=h/g*100</w:t>
            </w:r>
          </w:p>
          <w:p w14:paraId="75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h- количество воспитанников, переданных на воспитание в семьи граждан (возмездная или безвозмездная форма опеки, усыновление, удочерение);</w:t>
            </w:r>
          </w:p>
          <w:p w14:paraId="76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g - общее число воспитанников организаций за отчетный период (численность воспитанников по списку + численность </w:t>
            </w:r>
            <w:r>
              <w:rPr>
                <w:rFonts w:ascii="Times New Roman" w:hAnsi="Times New Roman"/>
                <w:sz w:val="22"/>
              </w:rPr>
              <w:t>воспитанников,</w:t>
            </w:r>
            <w:r>
              <w:rPr>
                <w:rFonts w:ascii="Times New Roman" w:hAnsi="Times New Roman"/>
                <w:sz w:val="22"/>
              </w:rPr>
              <w:t xml:space="preserve"> поступивших)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"Социальное обслуживание граждан"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услугах, %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П4= </w:t>
            </w:r>
            <w:r>
              <w:rPr>
                <w:rFonts w:ascii="Times New Roman" w:hAnsi="Times New Roman"/>
                <w:sz w:val="22"/>
              </w:rPr>
              <w:t>Куд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Кпол</w:t>
            </w:r>
            <w:r>
              <w:rPr>
                <w:rFonts w:ascii="Times New Roman" w:hAnsi="Times New Roman"/>
                <w:sz w:val="22"/>
              </w:rPr>
              <w:t xml:space="preserve"> х 100%, где:</w:t>
            </w:r>
          </w:p>
          <w:p w14:paraId="7D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Куд</w:t>
            </w:r>
            <w:r>
              <w:rPr>
                <w:rFonts w:ascii="Times New Roman" w:hAnsi="Times New Roman"/>
                <w:sz w:val="22"/>
              </w:rPr>
              <w:t xml:space="preserve"> - количество удовлетворенных получателей услуг, из числа опрошенных получателей услуг;</w:t>
            </w:r>
          </w:p>
          <w:p w14:paraId="7E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Кпол</w:t>
            </w:r>
            <w:r>
              <w:rPr>
                <w:rFonts w:ascii="Times New Roman" w:hAnsi="Times New Roman"/>
                <w:sz w:val="22"/>
              </w:rPr>
              <w:t xml:space="preserve"> - количество опрошенных получателей услуг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муниципальных учреждений социального обслуживания города Магнитогорска, предоставляющих муниципальные услуги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 "Формирование доступной среды для инвалидов и маломобильных групп населения"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"Формирование доступной среды для инвалидов и маломобильных групп населения"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приобретенных средств, ед.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12" name="Picture 12"/>
                  <a:graphic>
                    <a:graphicData uri="http://schemas.openxmlformats.org/drawingml/2006/picture">
                      <pic:pic>
                        <pic:nvPicPr>
                          <pic:cNvPr hidden="false" id="11" name="Picture 11"/>
                          <pic:cNvPicPr preferRelativeResize="true"/>
                        </pic:nvPicPr>
                        <pic:blipFill>
                          <a:blip r:embed="rId6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>, где</w:t>
            </w:r>
          </w:p>
          <w:p w14:paraId="86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– количество приобретенных средств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"Обеспечение условий беспрепятственного доступа инвалидов к помещениям в многоквартирном доме"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обустроенных объектов, ед.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14" name="Picture 14"/>
                  <a:graphic>
                    <a:graphicData uri="http://schemas.openxmlformats.org/drawingml/2006/picture">
                      <pic:pic>
                        <pic:nvPicPr>
                          <pic:cNvPr hidden="false" id="13" name="Picture 13"/>
                          <pic:cNvPicPr preferRelativeResize="true"/>
                        </pic:nvPicPr>
                        <pic:blipFill>
                          <a:blip r:embed="rId7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>, где</w:t>
            </w:r>
          </w:p>
          <w:p w14:paraId="8D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количество обустроенных объектов за отчетный период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</w:t>
            </w:r>
            <w:r>
              <w:rPr>
                <w:rFonts w:ascii="Times New Roman" w:hAnsi="Times New Roman"/>
                <w:color w:themeColor="text1" w:val="000000"/>
                <w:sz w:val="22"/>
              </w:rPr>
              <w:t>правления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выполненных проектных работ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</w:t>
            </w:r>
            <w:r>
              <w:rPr>
                <w:rFonts w:ascii="Times New Roman" w:hAnsi="Times New Roman"/>
                <w:sz w:val="22"/>
              </w:rPr>
              <w:t xml:space="preserve">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16" name="Picture 16"/>
                  <a:graphic>
                    <a:graphicData uri="http://schemas.openxmlformats.org/drawingml/2006/picture">
                      <pic:pic>
                        <pic:nvPicPr>
                          <pic:cNvPr hidden="false" id="15" name="Picture 15"/>
                          <pic:cNvPicPr preferRelativeResize="true"/>
                        </pic:nvPicPr>
                        <pic:blipFill>
                          <a:blip r:embed="rId8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>, где</w:t>
            </w:r>
          </w:p>
          <w:p w14:paraId="93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количество выполненных проектных работ за отчетный период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</w:t>
            </w:r>
            <w:r>
              <w:rPr>
                <w:rFonts w:ascii="Times New Roman" w:hAnsi="Times New Roman"/>
                <w:sz w:val="22"/>
              </w:rPr>
              <w:t xml:space="preserve"> Управления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  <w:r>
              <w:rPr>
                <w:rFonts w:ascii="Times New Roman" w:hAnsi="Times New Roman"/>
              </w:rPr>
              <w:t xml:space="preserve">Направление 3 "Формирование системы комплексной реабилитации и </w:t>
            </w:r>
            <w:r>
              <w:rPr>
                <w:rFonts w:ascii="Times New Roman" w:hAnsi="Times New Roman"/>
              </w:rPr>
              <w:t>абилитации</w:t>
            </w:r>
            <w:r>
              <w:rPr>
                <w:rFonts w:ascii="Times New Roman" w:hAnsi="Times New Roman"/>
              </w:rPr>
              <w:t xml:space="preserve"> инвалидов, в том числе детей-инвалидов"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«Формирование системы комплексной реабилитации и </w:t>
            </w:r>
            <w:r>
              <w:rPr>
                <w:rFonts w:ascii="Times New Roman" w:hAnsi="Times New Roman"/>
              </w:rPr>
              <w:t>абилитации</w:t>
            </w:r>
            <w:r>
              <w:rPr>
                <w:rFonts w:ascii="Times New Roman" w:hAnsi="Times New Roman"/>
              </w:rPr>
              <w:t xml:space="preserve"> инвалидов, в том числе детей-инвалидов»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Удовлетворенность получателей социальных услуг в оказанных социальных услугах, </w:t>
            </w:r>
          </w:p>
          <w:p w14:paraId="99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П4= </w:t>
            </w:r>
            <w:r>
              <w:rPr>
                <w:rFonts w:ascii="Times New Roman" w:hAnsi="Times New Roman"/>
                <w:sz w:val="22"/>
              </w:rPr>
              <w:t>Куд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Кпол</w:t>
            </w:r>
            <w:r>
              <w:rPr>
                <w:rFonts w:ascii="Times New Roman" w:hAnsi="Times New Roman"/>
                <w:sz w:val="22"/>
              </w:rPr>
              <w:t xml:space="preserve"> х 100%, где:</w:t>
            </w:r>
          </w:p>
          <w:p w14:paraId="9C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Куд</w:t>
            </w:r>
            <w:r>
              <w:rPr>
                <w:rFonts w:ascii="Times New Roman" w:hAnsi="Times New Roman"/>
                <w:sz w:val="22"/>
              </w:rPr>
              <w:t xml:space="preserve"> - количество удовлетворенных получателей услуг, из числа опрошенных получателей услуг;</w:t>
            </w:r>
          </w:p>
          <w:p w14:paraId="9D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Кпол</w:t>
            </w:r>
            <w:r>
              <w:rPr>
                <w:rFonts w:ascii="Times New Roman" w:hAnsi="Times New Roman"/>
                <w:sz w:val="22"/>
              </w:rPr>
              <w:t xml:space="preserve"> - количество опрошенных получателей услуг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муниципальных учреждений, предоставляющих социальные услуги инвалидам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4 "Поддержка социально ориентированных некоммерческих организаций в городе Магнитогорске"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"Поддержка социально ориентированных некоммерческих организаций в области физической культуры и спорта"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проектов, ед.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pStyle w:val="Style_5"/>
              <w:spacing w:after="0" w:before="0" w:line="240" w:lineRule="auto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00000">
            <w:pPr>
              <w:pStyle w:val="Style_5"/>
              <w:spacing w:after="0" w:before="0" w:line="240" w:lineRule="auto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18" name="Picture 18"/>
                  <a:graphic>
                    <a:graphicData uri="http://schemas.openxmlformats.org/drawingml/2006/picture">
                      <pic:pic>
                        <pic:nvPicPr>
                          <pic:cNvPr hidden="false" id="17" name="Picture 17"/>
                          <pic:cNvPicPr preferRelativeResize="true"/>
                        </pic:nvPicPr>
                        <pic:blipFill>
                          <a:blip r:embed="rId9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, где</w:t>
            </w:r>
          </w:p>
          <w:p w14:paraId="A5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количество некоммерческих организаций, получивших меры социальной поддержки в соответствии с законодательством за отчетный период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"Финансовая поддержка общественных организаций"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денежных средств, направленных на поддержку деятельности общественных </w:t>
            </w:r>
            <w:r>
              <w:rPr>
                <w:rFonts w:ascii="Times New Roman" w:hAnsi="Times New Roman"/>
                <w:sz w:val="22"/>
              </w:rPr>
              <w:t>организаций, тыс. руб.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20" name="Picture 20"/>
                  <a:graphic>
                    <a:graphicData uri="http://schemas.openxmlformats.org/drawingml/2006/picture">
                      <pic:pic>
                        <pic:nvPicPr>
                          <pic:cNvPr hidden="false" id="19" name="Picture 19"/>
                          <pic:cNvPicPr preferRelativeResize="true"/>
                        </pic:nvPicPr>
                        <pic:blipFill>
                          <a:blip r:embed="rId10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, где</w:t>
            </w:r>
          </w:p>
          <w:p w14:paraId="AC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суммарный объем финансовых средств, </w:t>
            </w:r>
            <w:r>
              <w:rPr>
                <w:rFonts w:ascii="Times New Roman" w:hAnsi="Times New Roman"/>
                <w:sz w:val="22"/>
              </w:rPr>
              <w:t xml:space="preserve">направленных на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z w:val="22"/>
              </w:rPr>
              <w:t xml:space="preserve"> поддержку деятельности общественных организаций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АЦК-Финансы;</w:t>
            </w:r>
          </w:p>
          <w:p w14:paraId="AE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отчетность Управления социальной </w:t>
            </w:r>
            <w:r>
              <w:rPr>
                <w:rFonts w:ascii="Times New Roman" w:hAnsi="Times New Roman"/>
                <w:sz w:val="22"/>
              </w:rPr>
              <w:t>защиты населения администрации города Магнитогорска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общественных организаций, которым оказана финансовая поддержка, ед.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22" name="Picture 22"/>
                  <a:graphic>
                    <a:graphicData uri="http://schemas.openxmlformats.org/drawingml/2006/picture">
                      <pic:pic>
                        <pic:nvPicPr>
                          <pic:cNvPr hidden="false" id="21" name="Picture 21"/>
                          <pic:cNvPicPr preferRelativeResize="true"/>
                        </pic:nvPicPr>
                        <pic:blipFill>
                          <a:blip r:embed="rId1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, где</w:t>
            </w:r>
          </w:p>
          <w:p w14:paraId="B3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количество общественных организаций, которым оказана финансовая поддержка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"Информационная поддержка социально ориентированных некоммерческих организаций"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Информационная поддержка социально ориентированным некоммерческим организациям города, да (1) /нет (0)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"Да" - оказана информационная поддержка социально ориентированным некоммерческим организациям города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Службы внешних связей и молодёжной политики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"Содействие развитию социально ориентированных некоммерческих организаций путем проведения мероприятий"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организаций, ед.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24" name="Picture 24"/>
                  <a:graphic>
                    <a:graphicData uri="http://schemas.openxmlformats.org/drawingml/2006/picture">
                      <pic:pic>
                        <pic:nvPicPr>
                          <pic:cNvPr hidden="false" id="23" name="Picture 23"/>
                          <pic:cNvPicPr preferRelativeResize="true"/>
                        </pic:nvPicPr>
                        <pic:blipFill>
                          <a:blip r:embed="rId1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, где</w:t>
            </w:r>
          </w:p>
          <w:p w14:paraId="C0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- Количество проведенных мероприятий по вопросам деятельности социально ориентированных некоммерческих организаций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экономики и инвестиций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"Имущественная поддержка социально ориентированных некоммерческих организаций"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Имущественная поддержка социально ориентированным некоммерческим организациям города, да (1) /нет (0)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"Да" - предоставлена имущественная поддержка социально ориентированным некоммерческим организациям города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отчетность Комитета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"Проведение мониторинга о поддержке социально ориентированных некоммерческих организаций в городе Магнитогорске"</w:t>
            </w:r>
          </w:p>
        </w:tc>
      </w:tr>
      <w:t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Проведение мониторинга о поддержке социально ориентированных некоммерческих организаций</w:t>
            </w:r>
            <w:r>
              <w:rPr>
                <w:rFonts w:ascii="Times New Roman" w:hAnsi="Times New Roman"/>
                <w:sz w:val="22"/>
              </w:rPr>
              <w:t>, да/нет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"Да" – проведен мониторинг о поддержке социально ориентированных некоммерческих организаций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>
        <w:tc>
          <w:tcPr>
            <w:tcW w:type="dxa" w:w="151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«Поддержка социально ориентированных некоммерческих организаций»</w:t>
            </w:r>
          </w:p>
        </w:tc>
      </w:tr>
      <w:tr>
        <w:trPr>
          <w:trHeight w:hRule="atLeast" w:val="438"/>
        </w:trP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оператором, да (1) /нет (0)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"Да" – конкурс на предоставление субсидий социально ориентированным некоммерческим организациям проведен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>
        <w:trPr>
          <w:trHeight w:hRule="atLeast" w:val="438"/>
        </w:trPr>
        <w:tc>
          <w:tcPr>
            <w:tcW w:type="dxa" w:w="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проектов, ед.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- лучше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= </w:t>
            </w:r>
            <w:r>
              <w:rPr>
                <w:rFonts w:ascii="Times New Roman" w:hAnsi="Times New Roman"/>
                <w:sz w:val="22"/>
              </w:rPr>
              <w:drawing>
                <wp:inline>
                  <wp:extent cx="114300" cy="161925"/>
                  <wp:effectExtent b="0" l="0" r="0" t="0"/>
                  <wp:docPr hidden="false" id="26" name="Picture 26"/>
                  <a:graphic>
                    <a:graphicData uri="http://schemas.openxmlformats.org/drawingml/2006/picture">
                      <pic:pic>
                        <pic:nvPicPr>
                          <pic:cNvPr hidden="false" id="25" name="Picture 25"/>
                          <pic:cNvPicPr preferRelativeResize="true"/>
                        </pic:nvPicPr>
                        <pic:blipFill>
                          <a:blip r:embed="rId1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14300" cy="161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, где</w:t>
            </w:r>
          </w:p>
          <w:p w14:paraId="D8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ni</w:t>
            </w:r>
            <w:r>
              <w:rPr>
                <w:rFonts w:ascii="Times New Roman" w:hAnsi="Times New Roman"/>
                <w:sz w:val="22"/>
              </w:rPr>
              <w:t xml:space="preserve"> – количество социально ориентированных некоммерческих организаций, получивших финансовую поддержку 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pStyle w:val="Style_5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</w:tbl>
    <w:p w14:paraId="DA000000">
      <w:pPr>
        <w:pStyle w:val="Style_7"/>
        <w:spacing w:after="0" w:before="0" w:line="240" w:lineRule="auto"/>
        <w:ind/>
        <w:rPr>
          <w:rFonts w:ascii="Times New Roman" w:hAnsi="Times New Roman"/>
        </w:rPr>
      </w:pPr>
    </w:p>
    <w:p w14:paraId="DB000000">
      <w:pPr>
        <w:pStyle w:val="Style_1"/>
        <w:spacing w:after="0" w:before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</w:p>
    <w:p w14:paraId="DC000000">
      <w:pPr>
        <w:pStyle w:val="Style_1"/>
        <w:spacing w:after="0" w:before="0" w:line="240" w:lineRule="auto"/>
        <w:ind/>
        <w:rPr>
          <w:rFonts w:ascii="Times New Roman" w:hAnsi="Times New Roman"/>
        </w:rPr>
      </w:pPr>
    </w:p>
    <w:p w14:paraId="DD000000">
      <w:pPr>
        <w:spacing w:after="0" w:before="0" w:line="240" w:lineRule="auto"/>
        <w:ind w:right="4818"/>
        <w:rPr>
          <w:rFonts w:ascii="Times New Roman" w:hAnsi="Times New Roman"/>
        </w:rPr>
      </w:pPr>
    </w:p>
    <w:p w14:paraId="DE00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</w:rPr>
      </w:pPr>
    </w:p>
    <w:sectPr>
      <w:pgSz w:h="11908" w:orient="landscape" w:w="16848"/>
      <w:pgMar w:bottom="1134" w:footer="709" w:gutter="0" w:header="709" w:left="1134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8" w:type="paragraph">
    <w:name w:val="toc 2"/>
    <w:next w:val="Style_3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header"/>
    <w:basedOn w:val="Style_3"/>
    <w:link w:val="Style_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9_ch" w:type="character">
    <w:name w:val="header"/>
    <w:basedOn w:val="Style_3_ch"/>
    <w:link w:val="Style_9"/>
  </w:style>
  <w:style w:styleId="Style_6" w:type="paragraph">
    <w:name w:val="Гипертекстовая ссылка"/>
    <w:link w:val="Style_6_ch"/>
    <w:rPr>
      <w:color w:val="106BBE"/>
    </w:rPr>
  </w:style>
  <w:style w:styleId="Style_6_ch" w:type="character">
    <w:name w:val="Гипертекстовая ссылка"/>
    <w:link w:val="Style_6"/>
    <w:rPr>
      <w:color w:val="106BBE"/>
    </w:rPr>
  </w:style>
  <w:style w:styleId="Style_10" w:type="paragraph">
    <w:name w:val="toc 4"/>
    <w:next w:val="Style_3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footer"/>
    <w:basedOn w:val="Style_3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3_ch"/>
    <w:link w:val="Style_11"/>
  </w:style>
  <w:style w:styleId="Style_12" w:type="paragraph">
    <w:name w:val="toc 6"/>
    <w:next w:val="Style_3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3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Нормальный (таблица)1"/>
    <w:basedOn w:val="Style_15"/>
    <w:link w:val="Style_14_ch"/>
    <w:rPr>
      <w:rFonts w:ascii="Arial" w:hAnsi="Arial"/>
      <w:sz w:val="26"/>
    </w:rPr>
  </w:style>
  <w:style w:styleId="Style_14_ch" w:type="character">
    <w:name w:val="Нормальный (таблица)1"/>
    <w:basedOn w:val="Style_15_ch"/>
    <w:link w:val="Style_14"/>
    <w:rPr>
      <w:rFonts w:ascii="Arial" w:hAnsi="Arial"/>
      <w:sz w:val="26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</w:rPr>
  </w:style>
  <w:style w:styleId="Style_16_ch" w:type="character">
    <w:name w:val="Endnote"/>
    <w:link w:val="Style_16"/>
    <w:rPr>
      <w:rFonts w:ascii="XO Thames" w:hAnsi="XO Thames"/>
    </w:rPr>
  </w:style>
  <w:style w:styleId="Style_17" w:type="paragraph">
    <w:name w:val="heading 3"/>
    <w:next w:val="Style_3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7" w:type="paragraph">
    <w:name w:val="ConsPlusTitle"/>
    <w:link w:val="Style_7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7_ch" w:type="character">
    <w:name w:val="ConsPlusTitle"/>
    <w:link w:val="Style_7"/>
    <w:rPr>
      <w:rFonts w:ascii="Calibri" w:hAnsi="Calibri"/>
      <w:b w:val="1"/>
    </w:rPr>
  </w:style>
  <w:style w:styleId="Style_18" w:type="paragraph">
    <w:name w:val="toc 3"/>
    <w:next w:val="Style_3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annotation reference"/>
    <w:basedOn w:val="Style_20"/>
    <w:link w:val="Style_19_ch"/>
    <w:rPr>
      <w:sz w:val="16"/>
    </w:rPr>
  </w:style>
  <w:style w:styleId="Style_19_ch" w:type="character">
    <w:name w:val="annotation reference"/>
    <w:basedOn w:val="Style_20_ch"/>
    <w:link w:val="Style_19"/>
    <w:rPr>
      <w:sz w:val="16"/>
    </w:rPr>
  </w:style>
  <w:style w:styleId="Style_5" w:type="paragraph">
    <w:name w:val="Нормальный (таблица)"/>
    <w:basedOn w:val="Style_3"/>
    <w:next w:val="Style_3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6"/>
    </w:rPr>
  </w:style>
  <w:style w:styleId="Style_5_ch" w:type="character">
    <w:name w:val="Нормальный (таблица)"/>
    <w:basedOn w:val="Style_3_ch"/>
    <w:link w:val="Style_5"/>
    <w:rPr>
      <w:rFonts w:ascii="Arial" w:hAnsi="Arial"/>
      <w:sz w:val="26"/>
    </w:rPr>
  </w:style>
  <w:style w:styleId="Style_21" w:type="paragraph">
    <w:name w:val="heading 5"/>
    <w:next w:val="Style_3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" w:type="paragraph">
    <w:name w:val="heading 1"/>
    <w:basedOn w:val="Style_3"/>
    <w:next w:val="Style_3"/>
    <w:link w:val="Style_2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6"/>
    </w:rPr>
  </w:style>
  <w:style w:styleId="Style_2_ch" w:type="character">
    <w:name w:val="heading 1"/>
    <w:basedOn w:val="Style_3_ch"/>
    <w:link w:val="Style_2"/>
    <w:rPr>
      <w:rFonts w:ascii="Arial" w:hAnsi="Arial"/>
      <w:b w:val="1"/>
      <w:color w:val="26282F"/>
      <w:sz w:val="26"/>
    </w:rPr>
  </w:style>
  <w:style w:styleId="Style_22" w:type="paragraph">
    <w:name w:val="annotation subject"/>
    <w:basedOn w:val="Style_23"/>
    <w:next w:val="Style_23"/>
    <w:link w:val="Style_22_ch"/>
    <w:rPr>
      <w:b w:val="1"/>
    </w:rPr>
  </w:style>
  <w:style w:styleId="Style_22_ch" w:type="character">
    <w:name w:val="annotation subject"/>
    <w:basedOn w:val="Style_23_ch"/>
    <w:link w:val="Style_22"/>
    <w:rPr>
      <w:b w:val="1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3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toc 9"/>
    <w:next w:val="Style_3"/>
    <w:link w:val="Style_30_ch"/>
    <w:uiPriority w:val="39"/>
    <w:pPr>
      <w:ind w:firstLine="0" w:left="1600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Balloon Text"/>
    <w:basedOn w:val="Style_3"/>
    <w:link w:val="Style_31_ch"/>
    <w:pPr>
      <w:spacing w:after="0" w:line="240" w:lineRule="auto"/>
      <w:ind/>
    </w:pPr>
    <w:rPr>
      <w:rFonts w:ascii="Segoe UI" w:hAnsi="Segoe UI"/>
      <w:sz w:val="18"/>
    </w:rPr>
  </w:style>
  <w:style w:styleId="Style_31_ch" w:type="character">
    <w:name w:val="Balloon Text"/>
    <w:basedOn w:val="Style_3_ch"/>
    <w:link w:val="Style_31"/>
    <w:rPr>
      <w:rFonts w:ascii="Segoe UI" w:hAnsi="Segoe UI"/>
      <w:sz w:val="18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32" w:type="paragraph">
    <w:name w:val="toc 8"/>
    <w:next w:val="Style_3"/>
    <w:link w:val="Style_32_ch"/>
    <w:uiPriority w:val="39"/>
    <w:pPr>
      <w:ind w:firstLine="0" w:left="1400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33" w:type="paragraph">
    <w:name w:val="Текст (справка)"/>
    <w:basedOn w:val="Style_3"/>
    <w:next w:val="Style_3"/>
    <w:link w:val="Style_33_ch"/>
    <w:pPr>
      <w:widowControl w:val="0"/>
      <w:spacing w:after="0" w:line="240" w:lineRule="auto"/>
      <w:ind w:firstLine="0" w:left="170" w:right="170"/>
    </w:pPr>
    <w:rPr>
      <w:rFonts w:ascii="Arial" w:hAnsi="Arial"/>
      <w:sz w:val="26"/>
    </w:rPr>
  </w:style>
  <w:style w:styleId="Style_33_ch" w:type="character">
    <w:name w:val="Текст (справка)"/>
    <w:basedOn w:val="Style_3_ch"/>
    <w:link w:val="Style_33"/>
    <w:rPr>
      <w:rFonts w:ascii="Arial" w:hAnsi="Arial"/>
      <w:sz w:val="26"/>
    </w:rPr>
  </w:style>
  <w:style w:styleId="Style_34" w:type="paragraph">
    <w:name w:val="toc 5"/>
    <w:next w:val="Style_3"/>
    <w:link w:val="Style_34_ch"/>
    <w:uiPriority w:val="39"/>
    <w:pPr>
      <w:ind w:firstLine="0" w:left="800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23" w:type="paragraph">
    <w:name w:val="annotation text"/>
    <w:basedOn w:val="Style_3"/>
    <w:link w:val="Style_23_ch"/>
    <w:pPr>
      <w:spacing w:line="240" w:lineRule="auto"/>
      <w:ind/>
    </w:pPr>
    <w:rPr>
      <w:sz w:val="20"/>
    </w:rPr>
  </w:style>
  <w:style w:styleId="Style_23_ch" w:type="character">
    <w:name w:val="annotation text"/>
    <w:basedOn w:val="Style_3_ch"/>
    <w:link w:val="Style_23"/>
    <w:rPr>
      <w:sz w:val="20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35" w:type="paragraph">
    <w:name w:val="Subtitle"/>
    <w:next w:val="Style_3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next w:val="Style_3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3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3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stylesWithEffects.xml" Type="http://schemas.microsoft.com/office/2007/relationships/stylesWithEffects"/>
  <Relationship Id="rId7" Target="media/7.emf" Type="http://schemas.openxmlformats.org/officeDocument/2006/relationships/image"/>
  <Relationship Id="rId6" Target="media/6.emf" Type="http://schemas.openxmlformats.org/officeDocument/2006/relationships/image"/>
  <Relationship Id="rId14" Target="fontTable.xml" Type="http://schemas.openxmlformats.org/officeDocument/2006/relationships/fontTable"/>
  <Relationship Id="rId13" Target="media/13.emf" Type="http://schemas.openxmlformats.org/officeDocument/2006/relationships/image"/>
  <Relationship Id="rId18" Target="webSettings.xml" Type="http://schemas.openxmlformats.org/officeDocument/2006/relationships/webSettings"/>
  <Relationship Id="rId4" Target="media/4.emf" Type="http://schemas.openxmlformats.org/officeDocument/2006/relationships/image"/>
  <Relationship Id="rId3" Target="media/3.emf" Type="http://schemas.openxmlformats.org/officeDocument/2006/relationships/image"/>
  <Relationship Id="rId12" Target="media/12.emf" Type="http://schemas.openxmlformats.org/officeDocument/2006/relationships/image"/>
  <Relationship Id="rId10" Target="media/10.emf" Type="http://schemas.openxmlformats.org/officeDocument/2006/relationships/image"/>
  <Relationship Id="rId19" Target="theme/theme1.xml" Type="http://schemas.openxmlformats.org/officeDocument/2006/relationships/theme"/>
  <Relationship Id="rId5" Target="media/5.emf" Type="http://schemas.openxmlformats.org/officeDocument/2006/relationships/image"/>
  <Relationship Id="rId11" Target="media/11.emf" Type="http://schemas.openxmlformats.org/officeDocument/2006/relationships/image"/>
  <Relationship Id="rId8" Target="media/8.emf" Type="http://schemas.openxmlformats.org/officeDocument/2006/relationships/image"/>
  <Relationship Id="rId16" Target="styles.xml" Type="http://schemas.openxmlformats.org/officeDocument/2006/relationships/styles"/>
  <Relationship Id="rId2" Target="media/2.emf" Type="http://schemas.openxmlformats.org/officeDocument/2006/relationships/image"/>
  <Relationship Id="rId9" Target="media/9.emf" Type="http://schemas.openxmlformats.org/officeDocument/2006/relationships/image"/>
  <Relationship Id="rId15" Target="settings.xml" Type="http://schemas.openxmlformats.org/officeDocument/2006/relationships/settings"/>
  <Relationship Id="rId1" Target="media/1.emf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2025-11-01T09:46:24Z</dcterms:modified>
</cp:coreProperties>
</file>