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tabs>
          <w:tab w:leader="none" w:pos="2250" w:val="left"/>
        </w:tabs>
        <w:spacing w:after="0" w:before="0" w:line="240" w:lineRule="auto"/>
        <w:ind w:firstLine="0" w:left="11339"/>
        <w:rPr>
          <w:rFonts w:ascii="Times New Roman" w:hAnsi="Times New Roman"/>
        </w:rPr>
      </w:pPr>
      <w:bookmarkStart w:id="1" w:name="P491"/>
      <w:bookmarkEnd w:id="1"/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14:paraId="09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постановлению администрации </w:t>
      </w:r>
    </w:p>
    <w:p w14:paraId="0A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города</w:t>
      </w:r>
      <w:r>
        <w:rPr>
          <w:rFonts w:ascii="Times New Roman" w:hAnsi="Times New Roman"/>
        </w:rPr>
        <w:t xml:space="preserve"> Магнитогорска</w:t>
      </w:r>
    </w:p>
    <w:p w14:paraId="0B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31.10.2025 № 9305-П</w:t>
      </w:r>
    </w:p>
    <w:p w14:paraId="0C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14:paraId="0D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муниципальной программе</w:t>
      </w:r>
    </w:p>
    <w:p w14:paraId="0E000000">
      <w:pPr>
        <w:spacing w:after="0" w:before="0" w:line="240" w:lineRule="auto"/>
        <w:ind w:firstLine="0" w:left="11339" w:right="-446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F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социальная поддержка</w:t>
      </w:r>
    </w:p>
    <w:p w14:paraId="10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жителей</w:t>
      </w:r>
      <w:r>
        <w:rPr>
          <w:rFonts w:ascii="Times New Roman" w:hAnsi="Times New Roman"/>
        </w:rPr>
        <w:t xml:space="preserve"> города Магнитогорска»</w:t>
      </w:r>
    </w:p>
    <w:p w14:paraId="11000000">
      <w:pPr>
        <w:spacing w:after="0" w:before="0" w:line="240" w:lineRule="auto"/>
        <w:ind w:firstLine="0" w:left="11339"/>
        <w:rPr>
          <w:rFonts w:ascii="Times New Roman" w:hAnsi="Times New Roman"/>
        </w:rPr>
      </w:pPr>
      <w:r>
        <w:rPr>
          <w:rFonts w:ascii="Times New Roman" w:hAnsi="Times New Roman"/>
        </w:rPr>
        <w:t>на</w:t>
      </w:r>
      <w:r>
        <w:rPr>
          <w:rFonts w:ascii="Times New Roman" w:hAnsi="Times New Roman"/>
        </w:rPr>
        <w:t xml:space="preserve"> 2025-2030 годы</w:t>
      </w:r>
    </w:p>
    <w:p w14:paraId="12000000">
      <w:pPr>
        <w:pStyle w:val="Style_4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13000000">
      <w:pPr>
        <w:pStyle w:val="Style_4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4000000">
      <w:pPr>
        <w:pStyle w:val="Style_4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5000000">
      <w:pPr>
        <w:pStyle w:val="Style_4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и социальная поддержка жителей города Магнитогорска» на 2025-2030 годы</w:t>
      </w:r>
    </w:p>
    <w:p w14:paraId="16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7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8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87"/>
        <w:gridCol w:w="3583"/>
        <w:gridCol w:w="7371"/>
      </w:tblGrid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Комитет по управлению имуществом и земельными отношениями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6"/>
              <w:spacing w:after="0" w:before="0" w:line="240" w:lineRule="auto"/>
              <w:ind w:firstLine="0" w:left="0"/>
              <w:rPr>
                <w:sz w:val="22"/>
              </w:rPr>
            </w:pPr>
            <w:r>
              <w:rPr>
                <w:sz w:val="22"/>
              </w:rPr>
              <w:t>4. 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7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5. Служба внешних связей и молодёжной политики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7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6. Управление экономики и инвестиций администрации города Магнитогорска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 гг.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</w:t>
            </w:r>
            <w:r>
              <w:rPr>
                <w:rFonts w:ascii="Times New Roman" w:hAnsi="Times New Roman"/>
                <w:color w:val="000000"/>
              </w:rPr>
              <w:t xml:space="preserve">ля роста благосостояния граждан </w:t>
            </w:r>
            <w:r>
              <w:rPr>
                <w:rFonts w:ascii="Times New Roman" w:hAnsi="Times New Roman"/>
                <w:color w:val="000000"/>
              </w:rPr>
              <w:t>- получателей мер социальной поддержки, повышение доступности социального обслуживания населения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8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 xml:space="preserve">Привлечение педагогов в </w:t>
            </w:r>
            <w:r>
              <w:rPr>
                <w:rFonts w:ascii="Times New Roman" w:hAnsi="Times New Roman"/>
              </w:rPr>
              <w:t xml:space="preserve">общеобразовательные учреждения, подведомственные </w:t>
            </w:r>
            <w:r>
              <w:rPr>
                <w:rFonts w:ascii="Times New Roman" w:hAnsi="Times New Roman"/>
              </w:rPr>
              <w:t>Управлению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Повышение качества жизни граждан старшего поколения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 Качественное социальное обслуживание населения города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 Обеспечение доступности инвалидов к жилым помещениям и общему имуществу в многоквартирном доме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9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11 </w:t>
            </w:r>
            <w:r>
              <w:rPr>
                <w:rFonts w:ascii="Times New Roman" w:hAnsi="Times New Roman"/>
              </w:rPr>
              <w:t>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социальных гарантий жителям города Магнитогорска»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7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 xml:space="preserve">Направление 3 «Формирование системы комплексной реабилитации и </w:t>
            </w:r>
            <w:r>
              <w:rPr>
                <w:sz w:val="22"/>
              </w:rPr>
              <w:t>абилитации</w:t>
            </w:r>
            <w:r>
              <w:rPr>
                <w:sz w:val="22"/>
              </w:rPr>
              <w:t xml:space="preserve"> инвалидов, в том числе детей-инвалидов»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7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Направление 4 «Поддержка социально ориентированных некоммерческих организаций в городе Магнитогорске»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590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т</w:t>
            </w:r>
            <w:r>
              <w:rPr>
                <w:rFonts w:ascii="Times New Roman" w:hAnsi="Times New Roman"/>
              </w:rPr>
              <w:t>ыс. руб.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в соответствии с Указом Президента Российской Федерации от 07.05.2024 № 309 "О национальных целях развития Российской Федерации на период до 2030 года и на перспективу до 2036 года":</w:t>
            </w:r>
          </w:p>
          <w:p w14:paraId="43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сохранение населения, укрепление здоровья и повышение благополучия людей, поддержка семьи. </w:t>
            </w:r>
          </w:p>
          <w:p w14:paraId="44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5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показатели национальной цели:</w:t>
            </w:r>
          </w:p>
          <w:p w14:paraId="46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2" w:name="sub_21"/>
            <w:bookmarkEnd w:id="2"/>
            <w:r>
              <w:rPr>
                <w:rFonts w:ascii="Times New Roman" w:hAnsi="Times New Roman"/>
              </w:rPr>
              <w:t>- повышение суммарного коэффициента рождаемости до 1,6 к 2030 году и до 1,8 к 2036 году, в том числе ежегодный рост суммарного коэффициента рождаемости третьих и последующих детей;</w:t>
            </w:r>
          </w:p>
          <w:p w14:paraId="47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3" w:name="sub_22"/>
            <w:bookmarkEnd w:id="3"/>
            <w:r>
              <w:rPr>
                <w:rFonts w:ascii="Times New Roman" w:hAnsi="Times New Roman"/>
              </w:rPr>
              <w:t xml:space="preserve"> - 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жизни;</w:t>
            </w:r>
          </w:p>
          <w:p w14:paraId="48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4" w:name="sub_27"/>
            <w:r>
              <w:rPr>
                <w:rFonts w:ascii="Times New Roman" w:hAnsi="Times New Roman"/>
              </w:rPr>
              <w:t xml:space="preserve"> - увеличение к 2030 году численности граждан пожилого возраста и инвалидов, получающих услуги долговременного ухода, не менее чем до 500 тыс. человек из числа наиболее нуждающихся в таких услугах;</w:t>
            </w:r>
            <w:bookmarkEnd w:id="4"/>
          </w:p>
          <w:p w14:paraId="49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снижение уровня бедности ниже 7 процентов к 2030 году и ниже 5 процентов к 2036 году, в том числе уровня бедности многодетных семей до 12 процентов к 2030 году и до 8 процентов к 2036 году.</w:t>
            </w:r>
          </w:p>
          <w:p w14:paraId="4A000000">
            <w:pPr>
              <w:pStyle w:val="Style_8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Государственная программа Челябинской области "Развитие социальной защиты населения в Челябинской области".</w:t>
            </w:r>
          </w:p>
        </w:tc>
      </w:tr>
    </w:tbl>
    <w:p w14:paraId="4B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bookmarkStart w:id="5" w:name="P530"/>
      <w:bookmarkEnd w:id="5"/>
    </w:p>
    <w:p w14:paraId="4C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4D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</w:p>
    <w:tbl>
      <w:tblPr>
        <w:tblStyle w:val="Style_5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2837"/>
        <w:gridCol w:w="1473"/>
        <w:gridCol w:w="1521"/>
        <w:gridCol w:w="911"/>
        <w:gridCol w:w="51"/>
        <w:gridCol w:w="961"/>
        <w:gridCol w:w="51"/>
        <w:gridCol w:w="911"/>
        <w:gridCol w:w="913"/>
        <w:gridCol w:w="49"/>
        <w:gridCol w:w="861"/>
        <w:gridCol w:w="101"/>
        <w:gridCol w:w="963"/>
        <w:gridCol w:w="2290"/>
      </w:tblGrid>
      <w:t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28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</w:t>
            </w:r>
            <w:r>
              <w:rPr>
                <w:rFonts w:ascii="Times New Roman" w:hAnsi="Times New Roman"/>
              </w:rPr>
              <w:t xml:space="preserve"> предшествующий разработке проекта муниципальной программы</w:t>
            </w:r>
          </w:p>
        </w:tc>
        <w:tc>
          <w:tcPr>
            <w:tcW w:type="dxa" w:w="577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862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741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муниципальной программы «Создание условий для роста благосостояния граждан - получателей мер социальной поддержки, повышение доступности социального обслуживания населения»</w:t>
            </w:r>
          </w:p>
        </w:tc>
      </w:tr>
      <w:tr>
        <w:trPr>
          <w:trHeight w:hRule="atLeast" w:val="1275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8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  <w:r>
              <w:rPr>
                <w:rFonts w:ascii="Times New Roman" w:hAnsi="Times New Roman"/>
              </w:rPr>
              <w:t xml:space="preserve"> (0)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9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</w:p>
    <w:p w14:paraId="8A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bookmarkStart w:id="6" w:name="P688"/>
      <w:bookmarkEnd w:id="6"/>
      <w:r>
        <w:rPr>
          <w:rFonts w:ascii="Times New Roman" w:hAnsi="Times New Roman"/>
        </w:rPr>
        <w:t>3. План достижения показателей</w:t>
      </w:r>
    </w:p>
    <w:p w14:paraId="8B000000">
      <w:pPr>
        <w:pStyle w:val="Style_4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</w:t>
      </w:r>
      <w:r>
        <w:rPr>
          <w:rFonts w:ascii="Times New Roman" w:hAnsi="Times New Roman"/>
        </w:rPr>
        <w:t xml:space="preserve"> программы в 2025 году</w:t>
      </w:r>
    </w:p>
    <w:p w14:paraId="8C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8"/>
        <w:gridCol w:w="3988"/>
        <w:gridCol w:w="2056"/>
        <w:gridCol w:w="538"/>
        <w:gridCol w:w="538"/>
        <w:gridCol w:w="538"/>
        <w:gridCol w:w="538"/>
        <w:gridCol w:w="539"/>
        <w:gridCol w:w="538"/>
        <w:gridCol w:w="537"/>
        <w:gridCol w:w="539"/>
        <w:gridCol w:w="538"/>
        <w:gridCol w:w="538"/>
        <w:gridCol w:w="539"/>
        <w:gridCol w:w="1859"/>
      </w:tblGrid>
      <w:tr>
        <w:tc>
          <w:tcPr>
            <w:tcW w:type="dxa" w:w="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E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3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20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8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9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года </w:t>
            </w:r>
          </w:p>
        </w:tc>
      </w:tr>
      <w:tr>
        <w:tc>
          <w:tcPr>
            <w:tcW w:type="dxa" w:w="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8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542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C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  <w:r>
              <w:rPr>
                <w:rFonts w:ascii="Times New Roman" w:hAnsi="Times New Roman"/>
              </w:rPr>
              <w:t xml:space="preserve"> (0)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DC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  <w:bookmarkStart w:id="7" w:name="P804"/>
      <w:bookmarkEnd w:id="7"/>
      <w:r>
        <w:rPr>
          <w:rFonts w:ascii="Times New Roman" w:hAnsi="Times New Roman"/>
        </w:rPr>
        <w:br w:type="page"/>
      </w:r>
    </w:p>
    <w:p w14:paraId="DD00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DE00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5671"/>
        <w:gridCol w:w="4394"/>
        <w:gridCol w:w="3827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E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Обеспечение социальных гарантий жителям города Магнитогорска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Региональный проект «</w:t>
            </w:r>
            <w:r>
              <w:rPr>
                <w:rFonts w:ascii="Times New Roman" w:hAnsi="Times New Roman"/>
              </w:rPr>
              <w:t>Педагоги и наставники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2025-2027 гг. </w:t>
            </w:r>
          </w:p>
        </w:tc>
      </w:tr>
      <w:tr>
        <w:trPr>
          <w:trHeight w:hRule="atLeast" w:val="1384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9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536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Региональный проект </w:t>
            </w:r>
            <w:r>
              <w:rPr>
                <w:rFonts w:ascii="Times New Roman" w:hAnsi="Times New Roman"/>
              </w:rPr>
              <w:t>«Старшее поколение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646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г.</w:t>
            </w:r>
          </w:p>
        </w:tc>
      </w:tr>
      <w:tr>
        <w:trPr>
          <w:trHeight w:hRule="atLeast" w:val="788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качества жизни граждан старшего поколения на территории города Магнитогорска.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9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Граждане старше трудоспособного возраста и инвалиды получили услуги в рамках системы долговременного ухода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«Меры социальной защиты жителей города Магнитогорска»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Повышение уровня социальной защищенности </w:t>
            </w:r>
            <w:r>
              <w:rPr>
                <w:rFonts w:ascii="Times New Roman" w:hAnsi="Times New Roman"/>
              </w:rPr>
              <w:t>жителей города в условиях возможного возникновения социальных рисков.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доходов граждан и </w:t>
            </w:r>
            <w:r>
              <w:rPr>
                <w:rFonts w:ascii="Times New Roman" w:hAnsi="Times New Roman"/>
              </w:rPr>
              <w:t>своевременность предоставления социальных гарантий с учетом адресности и нуждаемости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получивших </w:t>
            </w:r>
            <w:r>
              <w:rPr>
                <w:rFonts w:ascii="Times New Roman" w:hAnsi="Times New Roman"/>
              </w:rPr>
              <w:t>меры социальной поддержки в соответствии с законодательством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жилищных условий детей-сирот и детей, оставшихся без попечения родителей</w:t>
            </w:r>
          </w:p>
          <w:p w14:paraId="04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«Организация отдыха и оздоровления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жизни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 Комплекс процессных мероприятий «Социальная поддержка детей-сирот и детей, оставшихся без попечения родителей»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Предоставлены меры социальной поддержки детям-сиротам и детям, оставшимся без попечения родителей, в целях повышения доходов и качества жизни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 Комплекс процессных мероприятий «Социальное обслуживание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9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Созданы условия для улучшения качества предоставления социальных услуг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2. Формирование доступной среды для инвалидов и маломобильных групп населения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Комплекс процессных мероприятий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tabs>
                <w:tab w:leader="none" w:pos="0" w:val="left"/>
                <w:tab w:leader="none" w:pos="1136" w:val="left"/>
              </w:tabs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  <w:p w14:paraId="21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средств</w:t>
            </w:r>
          </w:p>
        </w:tc>
      </w:tr>
      <w:t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Комплекс процессных мероприятий «Обеспечение условий беспрепятственного доступа инвалидов к помещениям в многоквартирном доме»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доступности инвалидов к жилым помещениям и общему имуществу в многоквартирном доме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Адаптированы жилые здания для доступа инвалидов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Направление 3. 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</w:rPr>
              <w:t>абилитации</w:t>
            </w:r>
            <w:r>
              <w:rPr>
                <w:rFonts w:ascii="Times New Roman" w:hAnsi="Times New Roman"/>
                <w:color w:val="000000"/>
              </w:rPr>
              <w:t xml:space="preserve"> инвалидов, в том числе детей-инвалидов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3.1. Комплекс процессных мероприятий «Формирование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</w:rPr>
              <w:t>абилитации</w:t>
            </w:r>
            <w:r>
              <w:rPr>
                <w:rFonts w:ascii="Times New Roman" w:hAnsi="Times New Roman"/>
                <w:color w:val="000000"/>
              </w:rPr>
              <w:t xml:space="preserve"> инвалидов, в том числе детей-инвалидов»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Удовлетворенность граждан социальными услугами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4. Поддержка социально ориентированных некоммерческих организаций в городе Магнитогорске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 Комплекс процессных мероприятий «Поддержка социально ориентированных некоммерческих организаций в области физической культуры и спорта»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поддержка социально ориентированным некоммерческим организациям, осуществляющим деятельность в области физической культуры и спорта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4.2. Комплекс процессных мероприятий «Финансовая поддержка общественных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финансовая поддержка общественным организациям 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4.3. Комплекс процессных мероприятий «Информационная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Служба внешних связей и молодёжной политики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Информированность граждан о деятельности социально ориентированных некоммерческих организаций в городе Магнитогорске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4.4. Комплекс процессных мероприятий «Содействие развитию социально ориентированных некоммерческих организаций путем проведения мероприятий»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экономики и </w:t>
            </w:r>
            <w:r>
              <w:rPr>
                <w:rFonts w:ascii="Times New Roman" w:hAnsi="Times New Roman"/>
              </w:rPr>
              <w:t>инвестиций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4.5. Комплекс процессных мероприятий «Имущественная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Осуществление имущественной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имущественная поддержка на территории муниципального образования социально ориентированным некоммерческим организациям 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4.6. Комплекс процессных мероприятий «Проведение мониторинга о поддержке социально ориентированных некоммерческих организаций в городе Магнитогорске»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 1. Мониторинг и анализ мер, направленных на развитие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некоммерческого сектора экономики в городе Магнитогорске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74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4.7 Комплекс процессных мероприятий «Поддержка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822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финансовая поддержка социально ориентированным некоммерческим организациям, осуществляющим деятельность на территории города Магнитогорска</w:t>
            </w:r>
          </w:p>
          <w:p w14:paraId="64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4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</w:tbl>
    <w:p w14:paraId="6601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6701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68010000">
      <w:pPr>
        <w:pStyle w:val="Style_4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bookmarkStart w:id="8" w:name="P877"/>
      <w:bookmarkEnd w:id="8"/>
      <w:r>
        <w:rPr>
          <w:rFonts w:ascii="Times New Roman" w:hAnsi="Times New Roman"/>
        </w:rPr>
        <w:t>5. Финансовое обеспечение муниципальной программы</w:t>
      </w:r>
    </w:p>
    <w:p w14:paraId="69010000">
      <w:pPr>
        <w:pStyle w:val="Style_4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46"/>
        <w:gridCol w:w="1517"/>
        <w:gridCol w:w="1517"/>
        <w:gridCol w:w="1518"/>
        <w:gridCol w:w="1366"/>
        <w:gridCol w:w="1517"/>
        <w:gridCol w:w="1518"/>
        <w:gridCol w:w="1842"/>
      </w:tblGrid>
      <w:tr>
        <w:tc>
          <w:tcPr>
            <w:tcW w:type="dxa" w:w="39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7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9" w:name="_GoBack"/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.: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4 212 917.44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4 387 969.83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4 469 680.18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3 744 591.42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3 832 512.76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3 928 918.52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24 576 590.15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</w:t>
            </w:r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340 608.08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357 644.38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354 722.76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1 757 047.53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</w:t>
            </w:r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2 655 410.51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2 913 263.11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2 997 475.64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2 389 459.97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2 476 658.47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2 572 271.64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16 004 539.34</w:t>
            </w:r>
          </w:p>
        </w:tc>
      </w:tr>
      <w:tr>
        <w:trPr>
          <w:trHeight w:hRule="atLeast" w:val="681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естный</w:t>
            </w:r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569 838.44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</w:rPr>
              <w:t>469 851.93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469 851.93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472 377.55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472 666.37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472 983.06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2 927 569.28</w:t>
            </w:r>
          </w:p>
        </w:tc>
      </w:tr>
      <w:tr>
        <w:trPr>
          <w:trHeight w:hRule="atLeast" w:val="212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  <w:r>
              <w:rPr>
                <w:rFonts w:ascii="Times New Roman" w:hAnsi="Times New Roman"/>
              </w:rPr>
              <w:t xml:space="preserve"> источники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647 060.41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647 210.41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647 629.85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648 063.13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648 497.15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648 973.05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3 887 434.00</w:t>
            </w:r>
            <w:bookmarkEnd w:id="9"/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4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 xml:space="preserve"> налоговых расходов*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15 166,00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15 166,00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15 166,00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15 166,00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15 166,00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15 166,00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4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90 996,00</w:t>
            </w:r>
          </w:p>
        </w:tc>
      </w:tr>
    </w:tbl>
    <w:p w14:paraId="AB010000">
      <w:pPr>
        <w:widowControl w:val="0"/>
        <w:spacing w:after="0" w:before="0" w:line="240" w:lineRule="auto"/>
        <w:ind w:firstLine="720" w:left="0"/>
        <w:jc w:val="both"/>
        <w:rPr>
          <w:rFonts w:ascii="Times New Roman" w:hAnsi="Times New Roman"/>
          <w:sz w:val="16"/>
        </w:rPr>
      </w:pPr>
    </w:p>
    <w:p w14:paraId="AC010000">
      <w:pPr>
        <w:widowControl w:val="0"/>
        <w:spacing w:after="0" w:before="0" w:line="240" w:lineRule="auto"/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sz w:val="20"/>
          <w:highlight w:val="white"/>
        </w:rPr>
        <w:t>Суммы налоговых расходов представлены </w:t>
      </w:r>
      <w:r>
        <w:rPr>
          <w:rFonts w:ascii="Times New Roman" w:hAnsi="Times New Roman"/>
          <w:sz w:val="20"/>
          <w:highlight w:val="white"/>
          <w:u w:val="single"/>
        </w:rPr>
        <w:t>за 202</w:t>
      </w:r>
      <w:r>
        <w:rPr>
          <w:rFonts w:ascii="Times New Roman" w:hAnsi="Times New Roman"/>
          <w:sz w:val="20"/>
          <w:highlight w:val="white"/>
          <w:u w:val="single"/>
        </w:rPr>
        <w:t>4</w:t>
      </w:r>
      <w:r>
        <w:rPr>
          <w:rFonts w:ascii="Times New Roman" w:hAnsi="Times New Roman"/>
          <w:sz w:val="20"/>
          <w:highlight w:val="white"/>
          <w:u w:val="single"/>
        </w:rPr>
        <w:t xml:space="preserve"> год</w:t>
      </w:r>
      <w:r>
        <w:rPr>
          <w:rFonts w:ascii="Times New Roman" w:hAnsi="Times New Roman"/>
          <w:sz w:val="20"/>
          <w:highlight w:val="white"/>
        </w:rPr>
        <w:t xml:space="preserve"> и указываются </w:t>
      </w:r>
      <w:r>
        <w:rPr>
          <w:rFonts w:ascii="Times New Roman" w:hAnsi="Times New Roman"/>
          <w:sz w:val="20"/>
          <w:highlight w:val="white"/>
        </w:rPr>
        <w:t>справочно</w:t>
      </w:r>
      <w:r>
        <w:rPr>
          <w:rFonts w:ascii="Times New Roman" w:hAnsi="Times New Roman"/>
          <w:sz w:val="20"/>
          <w:highlight w:val="white"/>
        </w:rPr>
        <w:t xml:space="preserve"> согласно перечню налоговых расходов города Магнитогорска, сформированному в соответствии с нормативными правовыми актами города Магнитогорска</w:t>
      </w:r>
    </w:p>
    <w:p w14:paraId="AD010000">
      <w:pPr>
        <w:widowControl w:val="0"/>
        <w:spacing w:after="0" w:before="0" w:line="240" w:lineRule="auto"/>
        <w:ind w:firstLine="720" w:left="0"/>
        <w:jc w:val="both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8" w:orient="landscape" w:w="16848"/>
      <w:pgMar w:bottom="850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column">
                <wp:posOffset>4535485</wp:posOffset>
              </wp:positionH>
              <wp:positionV relativeFrom="page">
                <wp:posOffset>0</wp:posOffset>
              </wp:positionV>
              <wp:extent cx="187329" cy="414552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87329" cy="41455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center"/>
    </w:pPr>
  </w:p>
  <w:p w14:paraId="04000000">
    <w:pPr>
      <w:pStyle w:val="Style_3"/>
      <w:ind/>
      <w:jc w:val="center"/>
    </w:pPr>
  </w:p>
  <w:p w14:paraId="05000000">
    <w:pPr>
      <w:pStyle w:val="Style_3"/>
      <w:ind/>
      <w:jc w:val="center"/>
    </w:pPr>
  </w:p>
  <w:p w14:paraId="06000000">
    <w:pPr>
      <w:pStyle w:val="Style_3"/>
      <w:ind/>
      <w:jc w:val="center"/>
      <w:rPr>
        <w:rFonts w:ascii="Times New Roman" w:hAnsi="Times New Roman"/>
      </w:rPr>
    </w:pPr>
  </w:p>
  <w:p w14:paraId="07000000">
    <w:pPr>
      <w:pStyle w:val="Style_3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10" w:type="paragraph">
    <w:name w:val="toc 2"/>
    <w:next w:val="Style_2"/>
    <w:link w:val="Style_10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Подзаголовок1"/>
    <w:link w:val="Style_11_ch"/>
    <w:rPr>
      <w:rFonts w:ascii="XO Thames" w:hAnsi="XO Thames"/>
      <w:i w:val="1"/>
      <w:color w:val="000000"/>
      <w:spacing w:val="0"/>
      <w:sz w:val="24"/>
    </w:rPr>
  </w:style>
  <w:style w:styleId="Style_11_ch" w:type="character">
    <w:name w:val="Подзаголовок1"/>
    <w:link w:val="Style_11"/>
    <w:rPr>
      <w:rFonts w:ascii="XO Thames" w:hAnsi="XO Thames"/>
      <w:i w:val="1"/>
      <w:color w:val="000000"/>
      <w:spacing w:val="0"/>
      <w:sz w:val="24"/>
    </w:rPr>
  </w:style>
  <w:style w:styleId="Style_12" w:type="paragraph">
    <w:name w:val="ConsPlusCell"/>
    <w:link w:val="Style_12_ch"/>
    <w:pPr>
      <w:widowControl w:val="0"/>
      <w:ind/>
    </w:pPr>
    <w:rPr>
      <w:rFonts w:ascii="Courier New" w:hAnsi="Courier New"/>
      <w:sz w:val="20"/>
    </w:rPr>
  </w:style>
  <w:style w:styleId="Style_12_ch" w:type="character">
    <w:name w:val="ConsPlusCell"/>
    <w:link w:val="Style_12"/>
    <w:rPr>
      <w:rFonts w:ascii="Courier New" w:hAnsi="Courier New"/>
      <w:sz w:val="20"/>
    </w:rPr>
  </w:style>
  <w:style w:styleId="Style_13" w:type="paragraph">
    <w:name w:val="Contents 7"/>
    <w:link w:val="Style_13_ch"/>
    <w:rPr>
      <w:rFonts w:ascii="XO Thames" w:hAnsi="XO Thames"/>
      <w:sz w:val="28"/>
    </w:rPr>
  </w:style>
  <w:style w:styleId="Style_13_ch" w:type="character">
    <w:name w:val="Contents 7"/>
    <w:link w:val="Style_13"/>
    <w:rPr>
      <w:rFonts w:ascii="XO Thames" w:hAnsi="XO Thames"/>
      <w:sz w:val="28"/>
    </w:rPr>
  </w:style>
  <w:style w:styleId="Style_14" w:type="paragraph">
    <w:name w:val="toc 4"/>
    <w:next w:val="Style_2"/>
    <w:link w:val="Style_14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2"/>
    <w:link w:val="Style_15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2"/>
    <w:link w:val="Style_16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Заголовок1"/>
    <w:basedOn w:val="Style_2"/>
    <w:next w:val="Style_18"/>
    <w:link w:val="Style_1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7_ch" w:type="character">
    <w:name w:val="Заголовок1"/>
    <w:basedOn w:val="Style_2_ch"/>
    <w:link w:val="Style_17"/>
    <w:rPr>
      <w:rFonts w:ascii="PT Astra Serif" w:hAnsi="PT Astra Serif"/>
      <w:sz w:val="28"/>
    </w:rPr>
  </w:style>
  <w:style w:styleId="Style_19" w:type="paragraph">
    <w:name w:val="Знак примечания1"/>
    <w:basedOn w:val="Style_20"/>
    <w:link w:val="Style_19_ch"/>
    <w:rPr>
      <w:sz w:val="16"/>
    </w:rPr>
  </w:style>
  <w:style w:styleId="Style_19_ch" w:type="character">
    <w:name w:val="Знак примечания1"/>
    <w:basedOn w:val="Style_20_ch"/>
    <w:link w:val="Style_19"/>
    <w:rPr>
      <w:sz w:val="16"/>
    </w:rPr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link w:val="Style_2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Заголовок 11"/>
    <w:basedOn w:val="Style_24"/>
    <w:link w:val="Style_23_ch"/>
    <w:rPr>
      <w:rFonts w:ascii="Times New Roman CYR" w:hAnsi="Times New Roman CYR"/>
      <w:b w:val="1"/>
      <w:color w:val="26282F"/>
      <w:spacing w:val="0"/>
      <w:sz w:val="24"/>
    </w:rPr>
  </w:style>
  <w:style w:styleId="Style_23_ch" w:type="character">
    <w:name w:val="Заголовок 11"/>
    <w:basedOn w:val="Style_24_ch"/>
    <w:link w:val="Style_23"/>
    <w:rPr>
      <w:rFonts w:ascii="Times New Roman CYR" w:hAnsi="Times New Roman CYR"/>
      <w:b w:val="1"/>
      <w:color w:val="26282F"/>
      <w:spacing w:val="0"/>
      <w:sz w:val="24"/>
    </w:rPr>
  </w:style>
  <w:style w:styleId="Style_25" w:type="paragraph">
    <w:name w:val="List"/>
    <w:basedOn w:val="Style_18"/>
    <w:link w:val="Style_25_ch"/>
    <w:rPr>
      <w:rFonts w:ascii="PT Astra Serif" w:hAnsi="PT Astra Serif"/>
    </w:rPr>
  </w:style>
  <w:style w:styleId="Style_25_ch" w:type="character">
    <w:name w:val="List"/>
    <w:basedOn w:val="Style_18_ch"/>
    <w:link w:val="Style_25"/>
    <w:rPr>
      <w:rFonts w:ascii="PT Astra Serif" w:hAnsi="PT Astra Serif"/>
    </w:rPr>
  </w:style>
  <w:style w:styleId="Style_26" w:type="paragraph">
    <w:name w:val="footer"/>
    <w:link w:val="Style_26_ch"/>
  </w:style>
  <w:style w:styleId="Style_26_ch" w:type="character">
    <w:name w:val="footer"/>
    <w:link w:val="Style_26"/>
  </w:style>
  <w:style w:styleId="Style_27" w:type="paragraph">
    <w:name w:val="Нижний колонтитул1"/>
    <w:basedOn w:val="Style_24"/>
    <w:link w:val="Style_27_ch"/>
    <w:rPr>
      <w:rFonts w:asciiTheme="minorAscii" w:hAnsiTheme="minorHAnsi"/>
      <w:color w:val="000000"/>
      <w:spacing w:val="0"/>
      <w:sz w:val="22"/>
    </w:rPr>
  </w:style>
  <w:style w:styleId="Style_27_ch" w:type="character">
    <w:name w:val="Нижний колонтитул1"/>
    <w:basedOn w:val="Style_24_ch"/>
    <w:link w:val="Style_27"/>
    <w:rPr>
      <w:rFonts w:asciiTheme="minorAscii" w:hAnsiTheme="minorHAnsi"/>
      <w:color w:val="000000"/>
      <w:spacing w:val="0"/>
      <w:sz w:val="22"/>
    </w:rPr>
  </w:style>
  <w:style w:styleId="Style_28" w:type="paragraph">
    <w:name w:val="Contents 2"/>
    <w:link w:val="Style_28_ch"/>
    <w:rPr>
      <w:rFonts w:ascii="XO Thames" w:hAnsi="XO Thames"/>
      <w:sz w:val="28"/>
    </w:rPr>
  </w:style>
  <w:style w:styleId="Style_28_ch" w:type="character">
    <w:name w:val="Contents 2"/>
    <w:link w:val="Style_28"/>
    <w:rPr>
      <w:rFonts w:ascii="XO Thames" w:hAnsi="XO Thames"/>
      <w:sz w:val="28"/>
    </w:rPr>
  </w:style>
  <w:style w:styleId="Style_3" w:type="paragraph">
    <w:name w:val="header"/>
    <w:link w:val="Style_3_ch"/>
  </w:style>
  <w:style w:styleId="Style_3_ch" w:type="character">
    <w:name w:val="header"/>
    <w:link w:val="Style_3"/>
  </w:style>
  <w:style w:styleId="Style_29" w:type="paragraph">
    <w:name w:val="Заголовок 41"/>
    <w:link w:val="Style_29_ch"/>
    <w:rPr>
      <w:rFonts w:ascii="XO Thames" w:hAnsi="XO Thames"/>
      <w:b w:val="1"/>
      <w:sz w:val="24"/>
    </w:rPr>
  </w:style>
  <w:style w:styleId="Style_29_ch" w:type="character">
    <w:name w:val="Заголовок 41"/>
    <w:link w:val="Style_29"/>
    <w:rPr>
      <w:rFonts w:ascii="XO Thames" w:hAnsi="XO Thames"/>
      <w:b w:val="1"/>
      <w:sz w:val="24"/>
    </w:rPr>
  </w:style>
  <w:style w:styleId="Style_30" w:type="paragraph">
    <w:name w:val="Название1"/>
    <w:link w:val="Style_30_ch"/>
    <w:rPr>
      <w:rFonts w:ascii="XO Thames" w:hAnsi="XO Thames"/>
      <w:b w:val="1"/>
      <w:caps w:val="1"/>
      <w:color w:val="000000"/>
      <w:spacing w:val="0"/>
      <w:sz w:val="40"/>
    </w:rPr>
  </w:style>
  <w:style w:styleId="Style_30_ch" w:type="character">
    <w:name w:val="Название1"/>
    <w:link w:val="Style_30"/>
    <w:rPr>
      <w:rFonts w:ascii="XO Thames" w:hAnsi="XO Thames"/>
      <w:b w:val="1"/>
      <w:caps w:val="1"/>
      <w:color w:val="000000"/>
      <w:spacing w:val="0"/>
      <w:sz w:val="40"/>
    </w:rPr>
  </w:style>
  <w:style w:styleId="Style_31" w:type="paragraph">
    <w:name w:val="Заголовок 21"/>
    <w:link w:val="Style_31_ch"/>
    <w:rPr>
      <w:rFonts w:ascii="XO Thames" w:hAnsi="XO Thames"/>
      <w:b w:val="1"/>
      <w:sz w:val="28"/>
    </w:rPr>
  </w:style>
  <w:style w:styleId="Style_31_ch" w:type="character">
    <w:name w:val="Заголовок 21"/>
    <w:link w:val="Style_31"/>
    <w:rPr>
      <w:rFonts w:ascii="XO Thames" w:hAnsi="XO Thames"/>
      <w:b w:val="1"/>
      <w:sz w:val="28"/>
    </w:rPr>
  </w:style>
  <w:style w:styleId="Style_32" w:type="paragraph">
    <w:name w:val="Contents 8"/>
    <w:link w:val="Style_32_ch"/>
    <w:rPr>
      <w:rFonts w:ascii="XO Thames" w:hAnsi="XO Thames"/>
      <w:sz w:val="28"/>
    </w:rPr>
  </w:style>
  <w:style w:styleId="Style_32_ch" w:type="character">
    <w:name w:val="Contents 8"/>
    <w:link w:val="Style_32"/>
    <w:rPr>
      <w:rFonts w:ascii="XO Thames" w:hAnsi="XO Thames"/>
      <w:sz w:val="28"/>
    </w:rPr>
  </w:style>
  <w:style w:styleId="Style_33" w:type="paragraph">
    <w:name w:val="Колонтитул"/>
    <w:link w:val="Style_33_ch"/>
    <w:pPr>
      <w:spacing w:after="160"/>
      <w:ind/>
      <w:jc w:val="both"/>
    </w:pPr>
    <w:rPr>
      <w:rFonts w:ascii="XO Thames" w:hAnsi="XO Thames"/>
      <w:sz w:val="28"/>
    </w:rPr>
  </w:style>
  <w:style w:styleId="Style_33_ch" w:type="character">
    <w:name w:val="Колонтитул"/>
    <w:link w:val="Style_33"/>
    <w:rPr>
      <w:rFonts w:ascii="XO Thames" w:hAnsi="XO Thames"/>
      <w:sz w:val="28"/>
    </w:rPr>
  </w:style>
  <w:style w:styleId="Style_34" w:type="paragraph">
    <w:name w:val="Contents 3"/>
    <w:link w:val="Style_34_ch"/>
    <w:rPr>
      <w:rFonts w:ascii="XO Thames" w:hAnsi="XO Thames"/>
      <w:sz w:val="28"/>
    </w:rPr>
  </w:style>
  <w:style w:styleId="Style_34_ch" w:type="character">
    <w:name w:val="Contents 3"/>
    <w:link w:val="Style_34"/>
    <w:rPr>
      <w:rFonts w:ascii="XO Thames" w:hAnsi="XO Thames"/>
      <w:sz w:val="28"/>
    </w:rPr>
  </w:style>
  <w:style w:styleId="Style_35" w:type="paragraph">
    <w:name w:val="toc 3"/>
    <w:next w:val="Style_2"/>
    <w:link w:val="Style_35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5_ch" w:type="character">
    <w:name w:val="toc 3"/>
    <w:link w:val="Style_35"/>
    <w:rPr>
      <w:rFonts w:ascii="XO Thames" w:hAnsi="XO Thames"/>
      <w:sz w:val="28"/>
    </w:rPr>
  </w:style>
  <w:style w:styleId="Style_36" w:type="paragraph">
    <w:name w:val="Contents 5"/>
    <w:link w:val="Style_36_ch"/>
    <w:rPr>
      <w:rFonts w:ascii="XO Thames" w:hAnsi="XO Thames"/>
      <w:sz w:val="28"/>
    </w:rPr>
  </w:style>
  <w:style w:styleId="Style_36_ch" w:type="character">
    <w:name w:val="Contents 5"/>
    <w:link w:val="Style_36"/>
    <w:rPr>
      <w:rFonts w:ascii="XO Thames" w:hAnsi="XO Thames"/>
      <w:sz w:val="28"/>
    </w:rPr>
  </w:style>
  <w:style w:styleId="Style_37" w:type="paragraph">
    <w:name w:val="annotation text"/>
    <w:basedOn w:val="Style_2"/>
    <w:link w:val="Style_37_ch"/>
    <w:pPr>
      <w:spacing w:line="240" w:lineRule="auto"/>
      <w:ind/>
    </w:pPr>
    <w:rPr>
      <w:sz w:val="20"/>
    </w:rPr>
  </w:style>
  <w:style w:styleId="Style_37_ch" w:type="character">
    <w:name w:val="annotation text"/>
    <w:basedOn w:val="Style_2_ch"/>
    <w:link w:val="Style_37"/>
    <w:rPr>
      <w:sz w:val="20"/>
    </w:rPr>
  </w:style>
  <w:style w:styleId="Style_9" w:type="paragraph">
    <w:name w:val="Нормальный (таблица)"/>
    <w:basedOn w:val="Style_2"/>
    <w:next w:val="Style_2"/>
    <w:link w:val="Style_9_ch"/>
    <w:pPr>
      <w:widowControl w:val="0"/>
      <w:spacing w:after="0" w:line="240" w:lineRule="auto"/>
      <w:ind/>
      <w:jc w:val="both"/>
    </w:pPr>
    <w:rPr>
      <w:rFonts w:ascii="Times New Roman CYR" w:hAnsi="Times New Roman CYR"/>
      <w:sz w:val="24"/>
    </w:rPr>
  </w:style>
  <w:style w:styleId="Style_9_ch" w:type="character">
    <w:name w:val="Нормальный (таблица)"/>
    <w:basedOn w:val="Style_2_ch"/>
    <w:link w:val="Style_9"/>
    <w:rPr>
      <w:rFonts w:ascii="Times New Roman CYR" w:hAnsi="Times New Roman CYR"/>
      <w:sz w:val="24"/>
    </w:rPr>
  </w:style>
  <w:style w:styleId="Style_38" w:type="paragraph">
    <w:name w:val="Internet link"/>
    <w:link w:val="Style_3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38_ch" w:type="character">
    <w:name w:val="Internet link"/>
    <w:link w:val="Style_38"/>
    <w:rPr>
      <w:rFonts w:ascii="Calibri" w:hAnsi="Calibri"/>
      <w:color w:val="0000FF"/>
      <w:u w:val="single"/>
    </w:rPr>
  </w:style>
  <w:style w:styleId="Style_39" w:type="paragraph">
    <w:name w:val="Верхний колонтитул1"/>
    <w:basedOn w:val="Style_24"/>
    <w:link w:val="Style_39_ch"/>
    <w:rPr>
      <w:rFonts w:asciiTheme="minorAscii" w:hAnsiTheme="minorHAnsi"/>
      <w:color w:val="000000"/>
      <w:spacing w:val="0"/>
      <w:sz w:val="22"/>
    </w:rPr>
  </w:style>
  <w:style w:styleId="Style_39_ch" w:type="character">
    <w:name w:val="Верхний колонтитул1"/>
    <w:basedOn w:val="Style_24_ch"/>
    <w:link w:val="Style_39"/>
    <w:rPr>
      <w:rFonts w:asciiTheme="minorAscii" w:hAnsiTheme="minorHAnsi"/>
      <w:color w:val="000000"/>
      <w:spacing w:val="0"/>
      <w:sz w:val="22"/>
    </w:rPr>
  </w:style>
  <w:style w:styleId="Style_40" w:type="paragraph">
    <w:name w:val="Contents 9"/>
    <w:link w:val="Style_40_ch"/>
    <w:rPr>
      <w:rFonts w:ascii="XO Thames" w:hAnsi="XO Thames"/>
      <w:sz w:val="28"/>
    </w:rPr>
  </w:style>
  <w:style w:styleId="Style_40_ch" w:type="character">
    <w:name w:val="Contents 9"/>
    <w:link w:val="Style_40"/>
    <w:rPr>
      <w:rFonts w:ascii="XO Thames" w:hAnsi="XO Thames"/>
      <w:sz w:val="28"/>
    </w:rPr>
  </w:style>
  <w:style w:styleId="Style_41" w:type="paragraph">
    <w:name w:val="ConsPlusNonformat"/>
    <w:link w:val="Style_41_ch"/>
    <w:pPr>
      <w:widowControl w:val="0"/>
      <w:ind/>
    </w:pPr>
    <w:rPr>
      <w:rFonts w:ascii="Courier New" w:hAnsi="Courier New"/>
      <w:sz w:val="20"/>
    </w:rPr>
  </w:style>
  <w:style w:styleId="Style_41_ch" w:type="character">
    <w:name w:val="ConsPlusNonformat"/>
    <w:link w:val="Style_41"/>
    <w:rPr>
      <w:rFonts w:ascii="Courier New" w:hAnsi="Courier New"/>
      <w:sz w:val="20"/>
    </w:rPr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ConsPlusTitle"/>
    <w:link w:val="Style_43_ch"/>
    <w:pPr>
      <w:widowControl w:val="0"/>
      <w:ind/>
    </w:pPr>
    <w:rPr>
      <w:b w:val="1"/>
    </w:rPr>
  </w:style>
  <w:style w:styleId="Style_43_ch" w:type="character">
    <w:name w:val="ConsPlusTitle"/>
    <w:link w:val="Style_43"/>
    <w:rPr>
      <w:b w:val="1"/>
    </w:rPr>
  </w:style>
  <w:style w:styleId="Style_44" w:type="paragraph">
    <w:name w:val="heading 5"/>
    <w:next w:val="Style_2"/>
    <w:link w:val="Style_44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44_ch" w:type="character">
    <w:name w:val="heading 5"/>
    <w:link w:val="Style_44"/>
    <w:rPr>
      <w:rFonts w:ascii="XO Thames" w:hAnsi="XO Thames"/>
      <w:b w:val="1"/>
    </w:rPr>
  </w:style>
  <w:style w:styleId="Style_18" w:type="paragraph">
    <w:name w:val="Body Text"/>
    <w:basedOn w:val="Style_2"/>
    <w:link w:val="Style_18_ch"/>
    <w:pPr>
      <w:spacing w:after="140"/>
      <w:ind/>
    </w:pPr>
  </w:style>
  <w:style w:styleId="Style_18_ch" w:type="character">
    <w:name w:val="Body Text"/>
    <w:basedOn w:val="Style_2_ch"/>
    <w:link w:val="Style_18"/>
  </w:style>
  <w:style w:styleId="Style_45" w:type="paragraph">
    <w:name w:val="index heading"/>
    <w:basedOn w:val="Style_2"/>
    <w:link w:val="Style_45_ch"/>
    <w:rPr>
      <w:rFonts w:ascii="PT Astra Serif" w:hAnsi="PT Astra Serif"/>
    </w:rPr>
  </w:style>
  <w:style w:styleId="Style_45_ch" w:type="character">
    <w:name w:val="index heading"/>
    <w:basedOn w:val="Style_2_ch"/>
    <w:link w:val="Style_45"/>
    <w:rPr>
      <w:rFonts w:ascii="PT Astra Serif" w:hAnsi="PT Astra Serif"/>
    </w:rPr>
  </w:style>
  <w:style w:styleId="Style_46" w:type="paragraph">
    <w:name w:val="Заголовок 31"/>
    <w:link w:val="Style_46_ch"/>
    <w:rPr>
      <w:rFonts w:ascii="XO Thames" w:hAnsi="XO Thames"/>
      <w:b w:val="1"/>
      <w:color w:val="000000"/>
      <w:spacing w:val="0"/>
      <w:sz w:val="26"/>
    </w:rPr>
  </w:style>
  <w:style w:styleId="Style_46_ch" w:type="character">
    <w:name w:val="Заголовок 31"/>
    <w:link w:val="Style_46"/>
    <w:rPr>
      <w:rFonts w:ascii="XO Thames" w:hAnsi="XO Thames"/>
      <w:b w:val="1"/>
      <w:color w:val="000000"/>
      <w:spacing w:val="0"/>
      <w:sz w:val="26"/>
    </w:rPr>
  </w:style>
  <w:style w:styleId="Style_6" w:type="paragraph">
    <w:name w:val="Нормальный"/>
    <w:basedOn w:val="Style_2"/>
    <w:link w:val="Style_6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6_ch" w:type="character">
    <w:name w:val="Нормальный"/>
    <w:basedOn w:val="Style_2_ch"/>
    <w:link w:val="Style_6"/>
    <w:rPr>
      <w:rFonts w:ascii="Times New Roman" w:hAnsi="Times New Roman"/>
      <w:sz w:val="24"/>
    </w:rPr>
  </w:style>
  <w:style w:styleId="Style_8" w:type="paragraph">
    <w:name w:val="heading 1"/>
    <w:link w:val="Style_8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8_ch" w:type="character">
    <w:name w:val="heading 1"/>
    <w:link w:val="Style_8"/>
    <w:rPr>
      <w:rFonts w:ascii="Times New Roman CYR" w:hAnsi="Times New Roman CYR"/>
      <w:b w:val="1"/>
      <w:color w:val="26282F"/>
      <w:sz w:val="24"/>
    </w:rPr>
  </w:style>
  <w:style w:styleId="Style_47" w:type="paragraph">
    <w:name w:val="ConsPlusJurTerm"/>
    <w:link w:val="Style_47_ch"/>
    <w:pPr>
      <w:widowControl w:val="0"/>
      <w:ind/>
    </w:pPr>
    <w:rPr>
      <w:rFonts w:ascii="Tahoma" w:hAnsi="Tahoma"/>
      <w:sz w:val="26"/>
    </w:rPr>
  </w:style>
  <w:style w:styleId="Style_47_ch" w:type="character">
    <w:name w:val="ConsPlusJurTerm"/>
    <w:link w:val="Style_47"/>
    <w:rPr>
      <w:rFonts w:ascii="Tahoma" w:hAnsi="Tahoma"/>
      <w:sz w:val="26"/>
    </w:rPr>
  </w:style>
  <w:style w:styleId="Style_48" w:type="paragraph">
    <w:name w:val="annotation subject"/>
    <w:basedOn w:val="Style_37"/>
    <w:next w:val="Style_37"/>
    <w:link w:val="Style_48_ch"/>
    <w:rPr>
      <w:b w:val="1"/>
    </w:rPr>
  </w:style>
  <w:style w:styleId="Style_48_ch" w:type="character">
    <w:name w:val="annotation subject"/>
    <w:basedOn w:val="Style_37_ch"/>
    <w:link w:val="Style_48"/>
    <w:rPr>
      <w:b w:val="1"/>
    </w:rPr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link w:val="Style_5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50_ch" w:type="character">
    <w:name w:val="Footnote"/>
    <w:link w:val="Style_50"/>
    <w:rPr>
      <w:rFonts w:ascii="XO Thames" w:hAnsi="XO Thames"/>
    </w:rPr>
  </w:style>
  <w:style w:styleId="Style_51" w:type="paragraph">
    <w:name w:val="toc 1"/>
    <w:next w:val="Style_2"/>
    <w:link w:val="Style_51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51_ch" w:type="character">
    <w:name w:val="toc 1"/>
    <w:link w:val="Style_51"/>
    <w:rPr>
      <w:rFonts w:ascii="XO Thames" w:hAnsi="XO Thames"/>
      <w:b w:val="1"/>
      <w:sz w:val="28"/>
    </w:rPr>
  </w:style>
  <w:style w:styleId="Style_52" w:type="paragraph">
    <w:name w:val="Balloon Text"/>
    <w:basedOn w:val="Style_2"/>
    <w:link w:val="Style_52_ch"/>
    <w:pPr>
      <w:spacing w:after="0" w:line="240" w:lineRule="auto"/>
      <w:ind/>
    </w:pPr>
    <w:rPr>
      <w:rFonts w:ascii="Segoe UI" w:hAnsi="Segoe UI"/>
      <w:sz w:val="18"/>
    </w:rPr>
  </w:style>
  <w:style w:styleId="Style_52_ch" w:type="character">
    <w:name w:val="Balloon Text"/>
    <w:basedOn w:val="Style_2_ch"/>
    <w:link w:val="Style_52"/>
    <w:rPr>
      <w:rFonts w:ascii="Segoe UI" w:hAnsi="Segoe UI"/>
      <w:sz w:val="18"/>
    </w:rPr>
  </w:style>
  <w:style w:styleId="Style_24" w:type="paragraph">
    <w:name w:val="Обычный1"/>
    <w:link w:val="Style_24_ch"/>
    <w:rPr>
      <w:rFonts w:asciiTheme="minorAscii" w:hAnsiTheme="minorHAnsi"/>
      <w:color w:val="000000"/>
      <w:spacing w:val="0"/>
      <w:sz w:val="22"/>
    </w:rPr>
  </w:style>
  <w:style w:styleId="Style_24_ch" w:type="character">
    <w:name w:val="Обычный1"/>
    <w:link w:val="Style_24"/>
    <w:rPr>
      <w:rFonts w:asciiTheme="minorAscii" w:hAnsiTheme="minorHAnsi"/>
      <w:color w:val="000000"/>
      <w:spacing w:val="0"/>
      <w:sz w:val="22"/>
    </w:rPr>
  </w:style>
  <w:style w:styleId="Style_1" w:type="paragraph">
    <w:name w:val="Header and Footer"/>
    <w:link w:val="Style_1_ch"/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53" w:type="paragraph">
    <w:name w:val="toc 9"/>
    <w:next w:val="Style_2"/>
    <w:link w:val="Style_53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3_ch" w:type="character">
    <w:name w:val="toc 9"/>
    <w:link w:val="Style_53"/>
    <w:rPr>
      <w:rFonts w:ascii="XO Thames" w:hAnsi="XO Thames"/>
      <w:sz w:val="28"/>
    </w:rPr>
  </w:style>
  <w:style w:styleId="Style_7" w:type="paragraph">
    <w:name w:val="Прижатый влево"/>
    <w:basedOn w:val="Style_2"/>
    <w:link w:val="Style_7_ch"/>
    <w:pPr>
      <w:spacing w:after="0" w:line="240" w:lineRule="auto"/>
      <w:ind/>
    </w:pPr>
    <w:rPr>
      <w:rFonts w:ascii="Times New Roman" w:hAnsi="Times New Roman"/>
      <w:sz w:val="24"/>
    </w:rPr>
  </w:style>
  <w:style w:styleId="Style_7_ch" w:type="character">
    <w:name w:val="Прижатый влево"/>
    <w:basedOn w:val="Style_2_ch"/>
    <w:link w:val="Style_7"/>
    <w:rPr>
      <w:rFonts w:ascii="Times New Roman" w:hAnsi="Times New Roman"/>
      <w:sz w:val="24"/>
    </w:rPr>
  </w:style>
  <w:style w:styleId="Style_54" w:type="paragraph">
    <w:name w:val="Гиперссылка1"/>
    <w:link w:val="Style_54_ch"/>
    <w:rPr>
      <w:color w:val="0000FF"/>
      <w:u w:val="single"/>
    </w:rPr>
  </w:style>
  <w:style w:styleId="Style_54_ch" w:type="character">
    <w:name w:val="Гиперссылка1"/>
    <w:link w:val="Style_54"/>
    <w:rPr>
      <w:color w:val="0000FF"/>
      <w:u w:val="single"/>
    </w:rPr>
  </w:style>
  <w:style w:styleId="Style_55" w:type="paragraph">
    <w:name w:val="toc 8"/>
    <w:next w:val="Style_2"/>
    <w:link w:val="Style_55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56" w:type="paragraph">
    <w:name w:val="ConsPlusTitlePage"/>
    <w:link w:val="Style_56_ch"/>
    <w:pPr>
      <w:widowControl w:val="0"/>
      <w:ind/>
    </w:pPr>
    <w:rPr>
      <w:rFonts w:ascii="Tahoma" w:hAnsi="Tahoma"/>
      <w:sz w:val="20"/>
    </w:rPr>
  </w:style>
  <w:style w:styleId="Style_56_ch" w:type="character">
    <w:name w:val="ConsPlusTitlePage"/>
    <w:link w:val="Style_56"/>
    <w:rPr>
      <w:rFonts w:ascii="Tahoma" w:hAnsi="Tahoma"/>
      <w:sz w:val="20"/>
    </w:rPr>
  </w:style>
  <w:style w:styleId="Style_57" w:type="paragraph">
    <w:name w:val="Заголовок 51"/>
    <w:link w:val="Style_57_ch"/>
    <w:rPr>
      <w:rFonts w:ascii="XO Thames" w:hAnsi="XO Thames"/>
      <w:b w:val="1"/>
      <w:sz w:val="22"/>
    </w:rPr>
  </w:style>
  <w:style w:styleId="Style_57_ch" w:type="character">
    <w:name w:val="Заголовок 51"/>
    <w:link w:val="Style_57"/>
    <w:rPr>
      <w:rFonts w:ascii="XO Thames" w:hAnsi="XO Thames"/>
      <w:b w:val="1"/>
      <w:sz w:val="22"/>
    </w:rPr>
  </w:style>
  <w:style w:styleId="Style_4" w:type="paragraph">
    <w:name w:val="ConsPlusNormal"/>
    <w:link w:val="Style_4_ch"/>
    <w:pPr>
      <w:widowControl w:val="0"/>
      <w:ind/>
    </w:pPr>
  </w:style>
  <w:style w:styleId="Style_4_ch" w:type="character">
    <w:name w:val="ConsPlusNormal"/>
    <w:link w:val="Style_4"/>
  </w:style>
  <w:style w:styleId="Style_58" w:type="paragraph">
    <w:name w:val="Standard"/>
    <w:link w:val="Style_58_ch"/>
    <w:pPr>
      <w:ind w:firstLine="720" w:left="0"/>
      <w:jc w:val="both"/>
    </w:pPr>
    <w:rPr>
      <w:rFonts w:ascii="Times New Roman" w:hAnsi="Times New Roman"/>
      <w:sz w:val="24"/>
    </w:rPr>
  </w:style>
  <w:style w:styleId="Style_58_ch" w:type="character">
    <w:name w:val="Standard"/>
    <w:link w:val="Style_58"/>
    <w:rPr>
      <w:rFonts w:ascii="Times New Roman" w:hAnsi="Times New Roman"/>
      <w:sz w:val="24"/>
    </w:rPr>
  </w:style>
  <w:style w:styleId="Style_59" w:type="paragraph">
    <w:name w:val="ConsPlusDocList"/>
    <w:link w:val="Style_59_ch"/>
    <w:pPr>
      <w:widowControl w:val="0"/>
      <w:ind/>
    </w:pPr>
  </w:style>
  <w:style w:styleId="Style_59_ch" w:type="character">
    <w:name w:val="ConsPlusDocList"/>
    <w:link w:val="Style_59"/>
  </w:style>
  <w:style w:styleId="Style_60" w:type="paragraph">
    <w:name w:val="toc 5"/>
    <w:next w:val="Style_2"/>
    <w:link w:val="Style_60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0_ch" w:type="character">
    <w:name w:val="toc 5"/>
    <w:link w:val="Style_60"/>
    <w:rPr>
      <w:rFonts w:ascii="XO Thames" w:hAnsi="XO Thames"/>
      <w:sz w:val="28"/>
    </w:rPr>
  </w:style>
  <w:style w:styleId="Style_61" w:type="paragraph">
    <w:name w:val="caption"/>
    <w:basedOn w:val="Style_2"/>
    <w:link w:val="Style_61_ch"/>
    <w:pPr>
      <w:spacing w:after="120" w:before="120"/>
      <w:ind/>
    </w:pPr>
    <w:rPr>
      <w:rFonts w:ascii="PT Astra Serif" w:hAnsi="PT Astra Serif"/>
      <w:i w:val="1"/>
      <w:sz w:val="24"/>
    </w:rPr>
  </w:style>
  <w:style w:styleId="Style_61_ch" w:type="character">
    <w:name w:val="caption"/>
    <w:basedOn w:val="Style_2_ch"/>
    <w:link w:val="Style_61"/>
    <w:rPr>
      <w:rFonts w:ascii="PT Astra Serif" w:hAnsi="PT Astra Serif"/>
      <w:i w:val="1"/>
      <w:sz w:val="24"/>
    </w:rPr>
  </w:style>
  <w:style w:styleId="Style_62" w:type="paragraph">
    <w:name w:val="Contents 1"/>
    <w:link w:val="Style_62_ch"/>
    <w:rPr>
      <w:rFonts w:ascii="XO Thames" w:hAnsi="XO Thames"/>
      <w:b w:val="1"/>
      <w:sz w:val="28"/>
    </w:rPr>
  </w:style>
  <w:style w:styleId="Style_62_ch" w:type="character">
    <w:name w:val="Contents 1"/>
    <w:link w:val="Style_62"/>
    <w:rPr>
      <w:rFonts w:ascii="XO Thames" w:hAnsi="XO Thames"/>
      <w:b w:val="1"/>
      <w:sz w:val="28"/>
    </w:rPr>
  </w:style>
  <w:style w:styleId="Style_63" w:type="paragraph">
    <w:name w:val="Contents 6"/>
    <w:link w:val="Style_63_ch"/>
    <w:rPr>
      <w:rFonts w:ascii="XO Thames" w:hAnsi="XO Thames"/>
      <w:sz w:val="28"/>
    </w:rPr>
  </w:style>
  <w:style w:styleId="Style_63_ch" w:type="character">
    <w:name w:val="Contents 6"/>
    <w:link w:val="Style_63"/>
    <w:rPr>
      <w:rFonts w:ascii="XO Thames" w:hAnsi="XO Thames"/>
      <w:sz w:val="28"/>
    </w:rPr>
  </w:style>
  <w:style w:styleId="Style_64" w:type="paragraph">
    <w:name w:val="Contents 4"/>
    <w:link w:val="Style_64_ch"/>
    <w:rPr>
      <w:rFonts w:ascii="XO Thames" w:hAnsi="XO Thames"/>
      <w:sz w:val="28"/>
    </w:rPr>
  </w:style>
  <w:style w:styleId="Style_64_ch" w:type="character">
    <w:name w:val="Contents 4"/>
    <w:link w:val="Style_64"/>
    <w:rPr>
      <w:rFonts w:ascii="XO Thames" w:hAnsi="XO Thames"/>
      <w:sz w:val="28"/>
    </w:rPr>
  </w:style>
  <w:style w:styleId="Style_65" w:type="paragraph">
    <w:name w:val="Subtitle"/>
    <w:link w:val="Style_65_ch"/>
    <w:uiPriority w:val="11"/>
    <w:qFormat/>
    <w:rPr>
      <w:rFonts w:ascii="XO Thames" w:hAnsi="XO Thames"/>
      <w:i w:val="1"/>
      <w:sz w:val="24"/>
    </w:rPr>
  </w:style>
  <w:style w:styleId="Style_65_ch" w:type="character">
    <w:name w:val="Subtitle"/>
    <w:link w:val="Style_65"/>
    <w:rPr>
      <w:rFonts w:ascii="XO Thames" w:hAnsi="XO Thames"/>
      <w:i w:val="1"/>
      <w:sz w:val="24"/>
    </w:rPr>
  </w:style>
  <w:style w:styleId="Style_66" w:type="paragraph">
    <w:name w:val="Title"/>
    <w:link w:val="Style_66_ch"/>
    <w:uiPriority w:val="10"/>
    <w:qFormat/>
    <w:rPr>
      <w:rFonts w:ascii="XO Thames" w:hAnsi="XO Thames"/>
      <w:b w:val="1"/>
      <w:caps w:val="1"/>
      <w:sz w:val="40"/>
    </w:rPr>
  </w:style>
  <w:style w:styleId="Style_66_ch" w:type="character">
    <w:name w:val="Title"/>
    <w:link w:val="Style_66"/>
    <w:rPr>
      <w:rFonts w:ascii="XO Thames" w:hAnsi="XO Thames"/>
      <w:b w:val="1"/>
      <w:caps w:val="1"/>
      <w:sz w:val="40"/>
    </w:rPr>
  </w:style>
  <w:style w:styleId="Style_67" w:type="paragraph">
    <w:name w:val="heading 4"/>
    <w:next w:val="Style_2"/>
    <w:link w:val="Style_67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7_ch" w:type="character">
    <w:name w:val="heading 4"/>
    <w:link w:val="Style_67"/>
    <w:rPr>
      <w:rFonts w:ascii="XO Thames" w:hAnsi="XO Thames"/>
      <w:b w:val="1"/>
      <w:sz w:val="24"/>
    </w:rPr>
  </w:style>
  <w:style w:styleId="Style_68" w:type="paragraph">
    <w:name w:val="ConsPlusTextList"/>
    <w:link w:val="Style_68_ch"/>
    <w:pPr>
      <w:widowControl w:val="0"/>
      <w:ind/>
    </w:pPr>
    <w:rPr>
      <w:rFonts w:ascii="Arial" w:hAnsi="Arial"/>
      <w:sz w:val="20"/>
    </w:rPr>
  </w:style>
  <w:style w:styleId="Style_68_ch" w:type="character">
    <w:name w:val="ConsPlusTextList"/>
    <w:link w:val="Style_68"/>
    <w:rPr>
      <w:rFonts w:ascii="Arial" w:hAnsi="Arial"/>
      <w:sz w:val="20"/>
    </w:rPr>
  </w:style>
  <w:style w:styleId="Style_69" w:type="paragraph">
    <w:name w:val="heading 2"/>
    <w:next w:val="Style_2"/>
    <w:link w:val="Style_69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9_ch" w:type="character">
    <w:name w:val="heading 2"/>
    <w:link w:val="Style_69"/>
    <w:rPr>
      <w:rFonts w:ascii="XO Thames" w:hAnsi="XO Thames"/>
      <w:b w:val="1"/>
      <w:sz w:val="28"/>
    </w:rPr>
  </w:style>
  <w:style w:styleId="Style_20" w:type="paragraph">
    <w:name w:val="Основной шрифт абзаца1"/>
    <w:link w:val="Style_20_ch"/>
    <w:pPr>
      <w:spacing w:after="160" w:line="264" w:lineRule="auto"/>
      <w:ind/>
    </w:pPr>
  </w:style>
  <w:style w:styleId="Style_20_ch" w:type="character">
    <w:name w:val="Основной шрифт абзаца1"/>
    <w:link w:val="Style_20"/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2025-11-01T09:44:16Z</dcterms:modified>
</cp:coreProperties>
</file>