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9102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создании рабочей группы </w:t>
      </w:r>
      <w:r>
        <w:rPr>
          <w:rFonts w:ascii="Times New Roman" w:hAnsi="Times New Roman"/>
          <w:sz w:val="28"/>
        </w:rPr>
        <w:t>по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развитию добровольчества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 и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общественной </w:t>
      </w:r>
      <w:r>
        <w:rPr>
          <w:rFonts w:ascii="Times New Roman" w:hAnsi="Times New Roman"/>
          <w:sz w:val="28"/>
        </w:rPr>
        <w:t>деятельности 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города Магнитогорска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33 части 1</w:t>
      </w:r>
      <w:r>
        <w:rPr>
          <w:rFonts w:ascii="Times New Roman" w:hAnsi="Times New Roman"/>
          <w:sz w:val="28"/>
        </w:rPr>
        <w:t xml:space="preserve"> статьи 16 Федерального закона</w:t>
      </w:r>
      <w:r>
        <w:br/>
      </w:r>
      <w:r>
        <w:rPr>
          <w:rFonts w:ascii="Times New Roman" w:hAnsi="Times New Roman"/>
          <w:sz w:val="28"/>
        </w:rPr>
        <w:t>от 06 октября 2003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 пунктом 3 части 4 статьи 17.3 Федерального закона от 11 августа 1995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135-ФЗ</w:t>
      </w:r>
      <w:r>
        <w:br/>
      </w:r>
      <w:r>
        <w:rPr>
          <w:rFonts w:ascii="Times New Roman" w:hAnsi="Times New Roman"/>
          <w:sz w:val="28"/>
        </w:rPr>
        <w:t>«О благотворительной деятельности и д</w:t>
      </w:r>
      <w:r>
        <w:rPr>
          <w:rFonts w:ascii="Times New Roman" w:hAnsi="Times New Roman"/>
          <w:sz w:val="28"/>
        </w:rPr>
        <w:t>обровольчестве (</w:t>
      </w:r>
      <w:r>
        <w:rPr>
          <w:rFonts w:ascii="Times New Roman" w:hAnsi="Times New Roman"/>
          <w:sz w:val="28"/>
        </w:rPr>
        <w:t>волонтерстве</w:t>
      </w:r>
      <w:r>
        <w:rPr>
          <w:rFonts w:ascii="Times New Roman" w:hAnsi="Times New Roman"/>
          <w:sz w:val="28"/>
        </w:rPr>
        <w:t xml:space="preserve">)», руководствуясь </w:t>
      </w:r>
      <w:r>
        <w:rPr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>,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Создать рабочую группу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и общественной деятельности на </w:t>
      </w:r>
      <w:r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города Магнитогорска и утвердить</w:t>
      </w:r>
      <w:r>
        <w:rPr>
          <w:rFonts w:ascii="Times New Roman" w:hAnsi="Times New Roman"/>
          <w:sz w:val="28"/>
        </w:rPr>
        <w:t xml:space="preserve"> ее</w:t>
      </w:r>
      <w:r>
        <w:rPr>
          <w:rFonts w:ascii="Times New Roman" w:hAnsi="Times New Roman"/>
          <w:sz w:val="28"/>
        </w:rPr>
        <w:t xml:space="preserve"> состав (приложение № 1).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Утвердить п</w:t>
      </w:r>
      <w:r>
        <w:rPr>
          <w:rFonts w:ascii="Times New Roman" w:hAnsi="Times New Roman"/>
          <w:sz w:val="28"/>
        </w:rPr>
        <w:t>оложение о рабочей группе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и общественной деятельности на территории </w:t>
      </w:r>
      <w:r>
        <w:rPr>
          <w:rFonts w:ascii="Times New Roman" w:hAnsi="Times New Roman"/>
          <w:sz w:val="28"/>
        </w:rPr>
        <w:t>города Магнитогорска (приложение № 2).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</w:t>
      </w:r>
      <w:r>
        <w:rPr>
          <w:rFonts w:ascii="Times New Roman" w:hAnsi="Times New Roman"/>
          <w:sz w:val="28"/>
        </w:rPr>
        <w:t xml:space="preserve"> Магнитогорска Сафонову Н.В.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9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1A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</w:t>
      </w:r>
    </w:p>
    <w:p w14:paraId="1B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постановлению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z w:val="24"/>
        </w:rPr>
        <w:t>дминистрации</w:t>
      </w:r>
    </w:p>
    <w:p w14:paraId="1C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D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24.10.2025 № 9102-П</w:t>
      </w: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группы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</w:t>
      </w: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общественной деятельности на территории </w:t>
      </w:r>
      <w:r>
        <w:rPr>
          <w:rFonts w:ascii="Times New Roman" w:hAnsi="Times New Roman"/>
          <w:sz w:val="28"/>
        </w:rPr>
        <w:t>города Магнитогорска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3402"/>
        <w:gridCol w:w="5952"/>
      </w:tblGrid>
      <w:tr>
        <w:trPr>
          <w:trHeight w:hRule="atLeast" w:val="185"/>
        </w:trPr>
        <w:tc>
          <w:tcPr>
            <w:tcW w:type="dxa" w:w="3402"/>
            <w:shd w:fill="auto" w:val="clear"/>
          </w:tcPr>
          <w:p w14:paraId="23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Сафонова </w:t>
            </w:r>
          </w:p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25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руководитель рабочей группы, заместитель главы города Магнитогорска</w:t>
            </w:r>
          </w:p>
        </w:tc>
      </w:tr>
      <w:tr>
        <w:trPr>
          <w:trHeight w:hRule="atLeast" w:val="69"/>
        </w:trPr>
        <w:tc>
          <w:tcPr>
            <w:tcW w:type="dxa" w:w="3402"/>
            <w:shd w:fill="auto" w:val="clear"/>
          </w:tcPr>
          <w:p w14:paraId="26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</w:p>
          <w:p w14:paraId="27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Члены рабочей группы:</w:t>
            </w:r>
          </w:p>
        </w:tc>
        <w:tc>
          <w:tcPr>
            <w:tcW w:type="dxa" w:w="5952"/>
            <w:shd w:fill="auto" w:val="clear"/>
            <w:vAlign w:val="center"/>
          </w:tcPr>
          <w:p w14:paraId="28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</w:p>
        </w:tc>
      </w:tr>
      <w:tr>
        <w:trPr>
          <w:trHeight w:hRule="atLeast" w:val="742"/>
        </w:trPr>
        <w:tc>
          <w:tcPr>
            <w:tcW w:type="dxa" w:w="3402"/>
            <w:shd w:fill="auto" w:val="clear"/>
          </w:tcPr>
          <w:p w14:paraId="29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  <w:highlight w:val="white"/>
              </w:rPr>
            </w:pPr>
            <w:r>
              <w:rPr>
                <w:sz w:val="24"/>
              </w:rPr>
              <w:t>Астафьев</w:t>
            </w:r>
            <w:r>
              <w:rPr>
                <w:sz w:val="24"/>
                <w:highlight w:val="white"/>
              </w:rPr>
              <w:t xml:space="preserve"> </w:t>
            </w:r>
          </w:p>
          <w:p w14:paraId="2A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Максим Николаевич</w:t>
            </w:r>
          </w:p>
        </w:tc>
        <w:tc>
          <w:tcPr>
            <w:tcW w:type="dxa" w:w="5952"/>
            <w:shd w:fill="auto" w:val="clear"/>
            <w:vAlign w:val="center"/>
          </w:tcPr>
          <w:p w14:paraId="2B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исполнительный секретарь Магнитогорского местного отделения Челябинского регионального отделения Всероссийской политической партии «ЕДИНАЯ РОССИЯ» (по согласованию)</w:t>
            </w:r>
          </w:p>
        </w:tc>
      </w:tr>
      <w:tr>
        <w:trPr>
          <w:trHeight w:hRule="atLeast" w:val="397"/>
        </w:trPr>
        <w:tc>
          <w:tcPr>
            <w:tcW w:type="dxa" w:w="3402"/>
            <w:shd w:fill="auto" w:val="clear"/>
          </w:tcPr>
          <w:p w14:paraId="2C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Батырова</w:t>
            </w:r>
            <w:r>
              <w:rPr>
                <w:sz w:val="24"/>
              </w:rPr>
              <w:t xml:space="preserve"> </w:t>
            </w:r>
          </w:p>
          <w:p w14:paraId="2D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Евгения Александровна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2E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 xml:space="preserve">начальник подразделения по молодежной политике службы внешних связей и молодежной политики администрации города Магнитогорска </w:t>
            </w:r>
          </w:p>
        </w:tc>
      </w:tr>
      <w:tr>
        <w:trPr>
          <w:trHeight w:hRule="atLeast" w:val="397"/>
        </w:trPr>
        <w:tc>
          <w:tcPr>
            <w:tcW w:type="dxa" w:w="3402"/>
            <w:shd w:fill="auto" w:val="clear"/>
          </w:tcPr>
          <w:p w14:paraId="2F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Беккер </w:t>
            </w:r>
          </w:p>
          <w:p w14:paraId="30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Лилия Николаевна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31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начальник отдела 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rPr>
          <w:trHeight w:hRule="atLeast" w:val="397"/>
        </w:trPr>
        <w:tc>
          <w:tcPr>
            <w:tcW w:type="dxa" w:w="3402"/>
            <w:shd w:fill="auto" w:val="clear"/>
          </w:tcPr>
          <w:p w14:paraId="32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Бикбаув</w:t>
            </w:r>
            <w:r>
              <w:rPr>
                <w:sz w:val="24"/>
                <w:highlight w:val="white"/>
              </w:rPr>
              <w:t xml:space="preserve"> </w:t>
            </w:r>
          </w:p>
          <w:p w14:paraId="33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Ксения Николаевна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34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sz w:val="24"/>
              </w:rPr>
              <w:t xml:space="preserve">руководитель Волонтерского движения школьников города Магнитогорска, руководитель </w:t>
            </w:r>
            <w:r>
              <w:rPr>
                <w:sz w:val="24"/>
              </w:rPr>
              <w:t>Добро.Центра</w:t>
            </w:r>
            <w:r>
              <w:rPr>
                <w:sz w:val="24"/>
              </w:rPr>
              <w:t xml:space="preserve"> МАУ ДО «Дворца творчества детей и молодёжи» г.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Магнитогорска (по согласованию)</w:t>
            </w:r>
          </w:p>
        </w:tc>
      </w:tr>
      <w:tr>
        <w:trPr>
          <w:trHeight w:hRule="atLeast" w:val="397"/>
        </w:trPr>
        <w:tc>
          <w:tcPr>
            <w:tcW w:type="dxa" w:w="3402"/>
            <w:shd w:fill="auto" w:val="clear"/>
          </w:tcPr>
          <w:p w14:paraId="35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Власенкова </w:t>
            </w:r>
          </w:p>
          <w:p w14:paraId="36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  <w:highlight w:val="white"/>
              </w:rPr>
            </w:pPr>
            <w:r>
              <w:rPr>
                <w:sz w:val="24"/>
              </w:rPr>
              <w:t>Анна Викторовна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37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  <w:highlight w:val="white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руководитель ресурсного центра Благотворительного фонда «Металлург» (по согласованию)</w:t>
            </w:r>
          </w:p>
        </w:tc>
      </w:tr>
      <w:tr>
        <w:trPr>
          <w:trHeight w:hRule="atLeast" w:val="386"/>
        </w:trPr>
        <w:tc>
          <w:tcPr>
            <w:tcW w:type="dxa" w:w="3402"/>
            <w:shd w:fill="auto" w:val="clear"/>
          </w:tcPr>
          <w:p w14:paraId="38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Власова </w:t>
            </w:r>
          </w:p>
          <w:p w14:paraId="39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Галина Аркадьевна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3A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директор АНО Центр поддержки гражданских инициатив, благотворительности и добровольчества (</w:t>
            </w:r>
            <w:r>
              <w:rPr>
                <w:sz w:val="24"/>
              </w:rPr>
              <w:t>волонтерства</w:t>
            </w:r>
            <w:r>
              <w:rPr>
                <w:sz w:val="24"/>
              </w:rPr>
              <w:t>) «По зову сердца» (по согласованию)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3B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Габдрахманов</w:t>
            </w:r>
          </w:p>
          <w:p w14:paraId="3C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Ильдар </w:t>
            </w:r>
            <w:r>
              <w:rPr>
                <w:sz w:val="24"/>
              </w:rPr>
              <w:t>Фаритович</w:t>
            </w:r>
          </w:p>
        </w:tc>
        <w:tc>
          <w:tcPr>
            <w:tcW w:type="dxa" w:w="5952"/>
            <w:shd w:fill="auto" w:val="clear"/>
            <w:vAlign w:val="center"/>
          </w:tcPr>
          <w:p w14:paraId="3D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помощник руководителя ГБУ ДО «Региональный Центр патриотического воспитания детей и молодежи «Авангард» по г.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 xml:space="preserve">Магнитогорску, заместитель председателя Магнитогорской городской общественной организации «Ветеранов Афганистана, Чечни </w:t>
            </w:r>
            <w:r>
              <w:rPr>
                <w:sz w:val="24"/>
              </w:rPr>
              <w:t>и СВО» (по согласованию)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3E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Дрожжина</w:t>
            </w:r>
          </w:p>
          <w:p w14:paraId="3F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Антонина Петровна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40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ведущий специалист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41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Ежов</w:t>
            </w:r>
          </w:p>
          <w:p w14:paraId="42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Олег Владимирович</w:t>
            </w:r>
          </w:p>
        </w:tc>
        <w:tc>
          <w:tcPr>
            <w:tcW w:type="dxa" w:w="5952"/>
            <w:shd w:fill="auto" w:val="clear"/>
            <w:vAlign w:val="center"/>
          </w:tcPr>
          <w:p w14:paraId="43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 xml:space="preserve">председатель </w:t>
            </w:r>
            <w:r>
              <w:rPr>
                <w:sz w:val="24"/>
              </w:rPr>
              <w:t xml:space="preserve">МГМОО «Союз молодых металлургов» </w:t>
            </w:r>
            <w:r>
              <w:rPr>
                <w:sz w:val="24"/>
              </w:rPr>
              <w:t>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44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Ильясов</w:t>
            </w:r>
          </w:p>
          <w:p w14:paraId="45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Ильяс </w:t>
            </w:r>
            <w:r>
              <w:rPr>
                <w:sz w:val="24"/>
              </w:rPr>
              <w:t>Ражапович</w:t>
            </w:r>
          </w:p>
        </w:tc>
        <w:tc>
          <w:tcPr>
            <w:tcW w:type="dxa" w:w="5952"/>
            <w:shd w:fill="auto" w:val="clear"/>
            <w:vAlign w:val="center"/>
          </w:tcPr>
          <w:p w14:paraId="46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председатель городского отделения Всероссийского Общественного движения «Волонтеры Победы» города Магнитогорска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47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Колчина </w:t>
            </w:r>
          </w:p>
          <w:p w14:paraId="48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Ирина Сергеевна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49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руководитель</w:t>
            </w:r>
            <w:r>
              <w:rPr>
                <w:color w:val="000000"/>
                <w:sz w:val="24"/>
                <w:highlight w:val="white"/>
              </w:rPr>
              <w:t xml:space="preserve"> волонтёрского центра «Вместе-Сильнее!» </w:t>
            </w:r>
            <w:r>
              <w:rPr>
                <w:sz w:val="24"/>
              </w:rPr>
              <w:t>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4A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Кошаева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</w:p>
          <w:p w14:paraId="4B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Евгения Ивановна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4C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color w:val="000000"/>
                <w:sz w:val="24"/>
                <w:highlight w:val="white"/>
              </w:rPr>
              <w:t>руководитель ЧРБОД «ДОБРОДЕЯ ФОНД»</w:t>
            </w:r>
            <w:r>
              <w:rPr>
                <w:sz w:val="24"/>
              </w:rPr>
              <w:t xml:space="preserve">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4D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Кряжова</w:t>
            </w:r>
            <w:r>
              <w:rPr>
                <w:sz w:val="24"/>
              </w:rPr>
              <w:t xml:space="preserve"> </w:t>
            </w:r>
          </w:p>
          <w:p w14:paraId="4E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Алёна Владимировна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4F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координатор волонтеров-медиков ГБПОУ «Магнитогорский медицинский колледж имени П.Ф.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Надеждина»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0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Любецкий </w:t>
            </w:r>
          </w:p>
          <w:p w14:paraId="51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Артем Евгеньевич</w:t>
            </w:r>
          </w:p>
        </w:tc>
        <w:tc>
          <w:tcPr>
            <w:tcW w:type="dxa" w:w="5952"/>
            <w:shd w:fill="auto" w:val="clear"/>
            <w:vAlign w:val="center"/>
          </w:tcPr>
          <w:p w14:paraId="52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доцент кафедры Всеобщей истории ФГБОУ ВО «МГТУ им. Г.И. Носова», педагог дополнительного образования МУ ДО «Правобережный центр дополнительного образования детей» города Магнитогорска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3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Мороз </w:t>
            </w:r>
          </w:p>
          <w:p w14:paraId="54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Владислав Владимирович</w:t>
            </w:r>
          </w:p>
        </w:tc>
        <w:tc>
          <w:tcPr>
            <w:tcW w:type="dxa" w:w="5952"/>
            <w:shd w:fill="auto" w:val="clear"/>
            <w:vAlign w:val="center"/>
          </w:tcPr>
          <w:p w14:paraId="55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руководитель регионального отделения Всероссийского общественного движения добровольцев в сфере культуры «Волонтёры культуры» в Челябинской области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6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Муровицкий</w:t>
            </w:r>
          </w:p>
          <w:p w14:paraId="57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Василий Константинович</w:t>
            </w:r>
          </w:p>
        </w:tc>
        <w:tc>
          <w:tcPr>
            <w:tcW w:type="dxa" w:w="5952"/>
            <w:shd w:fill="auto" w:val="clear"/>
            <w:vAlign w:val="center"/>
          </w:tcPr>
          <w:p w14:paraId="58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заместитель председателя городского Совета ветеранов города Магнитогорска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9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Назарова </w:t>
            </w:r>
          </w:p>
          <w:p w14:paraId="5A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Анастасия Вячеславовна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5B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ведущий специалист учебно-спортивного отдела Управления по физической культуре и спорту администрации города Магнитогорска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C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Соколова </w:t>
            </w:r>
          </w:p>
          <w:p w14:paraId="5D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Екатерина Владиславовна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5E000000">
            <w:pPr>
              <w:spacing w:after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председатель Совета местного отделения Общероссийского общественно-государственного движения детей и молодёжи «Движение первых» г.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Магнитогорска (по согласованию)</w:t>
            </w:r>
          </w:p>
        </w:tc>
      </w:tr>
      <w:tr>
        <w:trPr>
          <w:trHeight w:hRule="atLeast" w:val="143"/>
        </w:trPr>
        <w:tc>
          <w:tcPr>
            <w:tcW w:type="dxa" w:w="3402"/>
            <w:shd w:fill="auto" w:val="clear"/>
          </w:tcPr>
          <w:p w14:paraId="5F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Усачева </w:t>
            </w:r>
          </w:p>
          <w:p w14:paraId="60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Ольга Юрьевна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61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color w:val="000000"/>
                <w:sz w:val="24"/>
                <w:highlight w:val="white"/>
              </w:rPr>
              <w:t>руководитель Агентства реализации молодежных инициатив «Иду навстречу»</w:t>
            </w:r>
            <w:r>
              <w:rPr>
                <w:sz w:val="24"/>
              </w:rPr>
              <w:t xml:space="preserve"> (по согласованию)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62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Халина </w:t>
            </w:r>
          </w:p>
          <w:p w14:paraId="63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Евгения Владимировна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64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ведущий специалист отдела по делам несовершеннолетних администрации города Магнитогорска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65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Хаялиева</w:t>
            </w:r>
            <w:r>
              <w:rPr>
                <w:sz w:val="24"/>
              </w:rPr>
              <w:t xml:space="preserve"> </w:t>
            </w:r>
          </w:p>
          <w:p w14:paraId="66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Рамиля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Язкаровна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67000000">
            <w:pPr>
              <w:spacing w:after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руководитель Регионального центра «Серебряного» </w:t>
            </w:r>
            <w:r>
              <w:rPr>
                <w:rFonts w:ascii="Times New Roman" w:hAnsi="Times New Roman"/>
                <w:sz w:val="24"/>
              </w:rPr>
              <w:t>волонтерства</w:t>
            </w:r>
            <w:r>
              <w:rPr>
                <w:rFonts w:ascii="Times New Roman" w:hAnsi="Times New Roman"/>
                <w:sz w:val="24"/>
              </w:rPr>
              <w:t xml:space="preserve"> Челябинской обла</w:t>
            </w:r>
            <w:r>
              <w:rPr>
                <w:rFonts w:ascii="Times New Roman" w:hAnsi="Times New Roman"/>
                <w:sz w:val="24"/>
              </w:rPr>
              <w:t xml:space="preserve">сти, руководитель </w:t>
            </w:r>
            <w:r>
              <w:rPr>
                <w:rFonts w:ascii="Times New Roman" w:hAnsi="Times New Roman"/>
                <w:sz w:val="24"/>
              </w:rPr>
              <w:t>Добро.Центра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МолодыДушой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на базе Благотворительного фонда «Металлург»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</w:tc>
      </w:tr>
      <w:tr>
        <w:trPr>
          <w:trHeight w:hRule="atLeast" w:val="441"/>
        </w:trPr>
        <w:tc>
          <w:tcPr>
            <w:tcW w:type="dxa" w:w="3402"/>
            <w:shd w:fill="auto" w:val="clear"/>
          </w:tcPr>
          <w:p w14:paraId="6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Шибаева </w:t>
            </w:r>
          </w:p>
          <w:p w14:paraId="6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Сергеевна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6A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городского волонтерского центра «По зову сердца» (по согласованию)</w:t>
            </w:r>
          </w:p>
        </w:tc>
      </w:tr>
      <w:tr>
        <w:trPr>
          <w:trHeight w:hRule="atLeast" w:val="70"/>
        </w:trPr>
        <w:tc>
          <w:tcPr>
            <w:tcW w:type="dxa" w:w="3402"/>
            <w:shd w:fill="auto" w:val="clear"/>
          </w:tcPr>
          <w:p w14:paraId="6B000000">
            <w:pPr>
              <w:pStyle w:val="Style_3"/>
              <w:tabs>
                <w:tab w:leader="none" w:pos="7125" w:val="left"/>
              </w:tabs>
              <w:spacing w:after="0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Щёлокова</w:t>
            </w:r>
          </w:p>
          <w:p w14:paraId="6C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Ксения Алексеевна</w:t>
            </w:r>
          </w:p>
        </w:tc>
        <w:tc>
          <w:tcPr>
            <w:tcW w:type="dxa" w:w="5952"/>
            <w:shd w:fill="auto" w:val="clear"/>
            <w:vAlign w:val="center"/>
          </w:tcPr>
          <w:p w14:paraId="6D000000">
            <w:pPr>
              <w:pStyle w:val="Style_3"/>
              <w:widowControl w:val="0"/>
              <w:tabs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 </w:t>
            </w:r>
            <w:r>
              <w:rPr>
                <w:sz w:val="24"/>
              </w:rPr>
              <w:t>главный специалист отдела по труду и информационно-аналитической деятельности Управления социальной защиты населения администрации города Магнитогорска</w:t>
            </w:r>
          </w:p>
        </w:tc>
      </w:tr>
    </w:tbl>
    <w:p w14:paraId="6E000000">
      <w:pPr>
        <w:tabs>
          <w:tab w:leader="none" w:pos="595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6F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</w:t>
      </w:r>
    </w:p>
    <w:p w14:paraId="72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</w:t>
      </w:r>
      <w:r>
        <w:rPr>
          <w:rFonts w:ascii="Times New Roman" w:hAnsi="Times New Roman"/>
          <w:sz w:val="24"/>
        </w:rPr>
        <w:t>администрации</w:t>
      </w:r>
    </w:p>
    <w:p w14:paraId="73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74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24.10.2025 № 9102-П</w:t>
      </w:r>
    </w:p>
    <w:p w14:paraId="7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7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рабочей группе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</w:t>
      </w:r>
      <w:r>
        <w:br/>
      </w:r>
      <w:r>
        <w:rPr>
          <w:rFonts w:ascii="Times New Roman" w:hAnsi="Times New Roman"/>
          <w:sz w:val="28"/>
        </w:rPr>
        <w:t xml:space="preserve">и общественной деятельности на территории </w:t>
      </w:r>
      <w:r>
        <w:rPr>
          <w:rFonts w:ascii="Times New Roman" w:hAnsi="Times New Roman"/>
          <w:sz w:val="28"/>
        </w:rPr>
        <w:t>города Магнитогорска</w:t>
      </w:r>
    </w:p>
    <w:p w14:paraId="7A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7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. Общие положения</w:t>
      </w:r>
    </w:p>
    <w:p w14:paraId="7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Положение определяет права, направления деятельности, функции и порядок организации деятельности </w:t>
      </w:r>
      <w:r>
        <w:rPr>
          <w:rFonts w:ascii="Times New Roman" w:hAnsi="Times New Roman"/>
          <w:sz w:val="28"/>
        </w:rPr>
        <w:t>рабочей группы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и общественной деятельности на территории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рабочая группа).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Рабочая группа </w:t>
      </w:r>
      <w:r>
        <w:rPr>
          <w:rFonts w:ascii="Times New Roman" w:hAnsi="Times New Roman"/>
          <w:sz w:val="28"/>
        </w:rPr>
        <w:t>является коллегиальным совещательным органом по вопросам муниципальной поддержки и развития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в </w:t>
      </w:r>
      <w:r>
        <w:rPr>
          <w:rFonts w:ascii="Times New Roman" w:hAnsi="Times New Roman"/>
          <w:sz w:val="28"/>
        </w:rPr>
        <w:t xml:space="preserve">городе </w:t>
      </w:r>
      <w:r>
        <w:rPr>
          <w:rFonts w:ascii="Times New Roman" w:hAnsi="Times New Roman"/>
          <w:sz w:val="28"/>
        </w:rPr>
        <w:t>Магнитогорске.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Рабочая группа </w:t>
      </w:r>
      <w:r>
        <w:rPr>
          <w:rFonts w:ascii="Times New Roman" w:hAnsi="Times New Roman"/>
          <w:sz w:val="28"/>
        </w:rPr>
        <w:t xml:space="preserve">организует свою деятельность на принципах взаимного доверия, сотрудничества, равноправия, гласности, законности и действует на общественных началах. </w:t>
      </w:r>
      <w:r>
        <w:rPr>
          <w:rFonts w:ascii="Times New Roman" w:hAnsi="Times New Roman"/>
          <w:sz w:val="28"/>
        </w:rPr>
        <w:t xml:space="preserve">Рабочая группа </w:t>
      </w:r>
      <w:r>
        <w:rPr>
          <w:rFonts w:ascii="Times New Roman" w:hAnsi="Times New Roman"/>
          <w:sz w:val="28"/>
        </w:rPr>
        <w:t>не вправе вмешиваться в процесс осуществления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).</w:t>
      </w:r>
    </w:p>
    <w:p w14:paraId="8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. Основные направления деятельности </w:t>
      </w:r>
    </w:p>
    <w:p w14:paraId="82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функции рабочей группы</w:t>
      </w:r>
    </w:p>
    <w:p w14:paraId="83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Основными направлениями деятельности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являются:</w:t>
      </w:r>
    </w:p>
    <w:p w14:paraId="85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обеспечение взаимодействия между органами </w:t>
      </w:r>
      <w:r>
        <w:rPr>
          <w:rFonts w:ascii="Times New Roman" w:hAnsi="Times New Roman"/>
          <w:sz w:val="28"/>
        </w:rPr>
        <w:t>администрации города Магнитогорска</w:t>
      </w:r>
      <w:r>
        <w:rPr>
          <w:rFonts w:ascii="Times New Roman" w:hAnsi="Times New Roman"/>
          <w:sz w:val="28"/>
        </w:rPr>
        <w:t xml:space="preserve"> и участниками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);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содействие в осуществлении деятельности благотворителей и добровольцев (волонтеров), направление рекомендаций об адресном оказании благотворительных пожертвований, помощи добровольцев (волонтеров);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разработка предложений по муниципальной поддержке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);</w:t>
      </w:r>
    </w:p>
    <w:p w14:paraId="88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рассмотрение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>, направленных на поддержку и развитие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), подготовка предложений по совершенствованию </w:t>
      </w:r>
      <w:r>
        <w:rPr>
          <w:rFonts w:ascii="Times New Roman" w:hAnsi="Times New Roman"/>
          <w:sz w:val="28"/>
        </w:rPr>
        <w:t>данных документов</w:t>
      </w:r>
      <w:r>
        <w:rPr>
          <w:rFonts w:ascii="Times New Roman" w:hAnsi="Times New Roman"/>
          <w:sz w:val="28"/>
        </w:rPr>
        <w:t>;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осуществление связи со средствами массовой информации, популяризация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);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выявление лиц, нуждающихся в благотворительных пожертвованиях, помощи добровольцев (волонтеров), предоставление информации об указанных лицах потенциальным благотворителям и добровольцам (волонтерам);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участие в мероприятиях, направленных на развитие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);</w:t>
      </w:r>
    </w:p>
    <w:p w14:paraId="8C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направление рекомендаций о поощрении лиц, участвующих в благотворительной и добровольческой (волонтерской) деятельности;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 соответствии с основными направлениями деятельности </w:t>
      </w:r>
      <w:r>
        <w:rPr>
          <w:rFonts w:ascii="Times New Roman" w:hAnsi="Times New Roman"/>
          <w:sz w:val="28"/>
        </w:rPr>
        <w:t xml:space="preserve">рабочей группы </w:t>
      </w:r>
      <w:r>
        <w:rPr>
          <w:rFonts w:ascii="Times New Roman" w:hAnsi="Times New Roman"/>
          <w:sz w:val="28"/>
        </w:rPr>
        <w:t>осуществляет следующие функции: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разработка рекомендаций и подготовка предложений о поддержке и развитию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в </w:t>
      </w:r>
      <w:r>
        <w:rPr>
          <w:rFonts w:ascii="Times New Roman" w:hAnsi="Times New Roman"/>
          <w:sz w:val="28"/>
        </w:rPr>
        <w:t xml:space="preserve">городе </w:t>
      </w:r>
      <w:r>
        <w:rPr>
          <w:rFonts w:ascii="Times New Roman" w:hAnsi="Times New Roman"/>
          <w:sz w:val="28"/>
        </w:rPr>
        <w:t>Магнитогорске</w:t>
      </w:r>
      <w:r>
        <w:rPr>
          <w:rFonts w:ascii="Times New Roman" w:hAnsi="Times New Roman"/>
          <w:sz w:val="28"/>
        </w:rPr>
        <w:t>;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взаимодействие с общественными организациями и другими организациями по вопросам, относящимся к компетенции </w:t>
      </w:r>
      <w:r>
        <w:rPr>
          <w:rFonts w:ascii="Times New Roman" w:hAnsi="Times New Roman"/>
          <w:sz w:val="28"/>
        </w:rPr>
        <w:t>рабочей группы;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информирование населени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 xml:space="preserve"> о работе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>, деятельности благотворителей и добровольцев (волонтеров), популяризация идей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), содействие изданию информационной, рекламной и другой продукции по вопросам поддержки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 в</w:t>
      </w:r>
      <w:r>
        <w:rPr>
          <w:rFonts w:ascii="Times New Roman" w:hAnsi="Times New Roman"/>
          <w:sz w:val="28"/>
        </w:rPr>
        <w:t xml:space="preserve"> городе Магнитогорске</w:t>
      </w:r>
      <w:r>
        <w:rPr>
          <w:rFonts w:ascii="Times New Roman" w:hAnsi="Times New Roman"/>
          <w:sz w:val="28"/>
        </w:rPr>
        <w:t>.</w:t>
      </w:r>
    </w:p>
    <w:p w14:paraId="9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2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. Права рабочей группы</w:t>
      </w:r>
    </w:p>
    <w:p w14:paraId="93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 целях эффективной реализации функций </w:t>
      </w:r>
      <w:r>
        <w:rPr>
          <w:rFonts w:ascii="Times New Roman" w:hAnsi="Times New Roman"/>
          <w:sz w:val="28"/>
        </w:rPr>
        <w:t xml:space="preserve">рабочей группы </w:t>
      </w:r>
      <w:r>
        <w:rPr>
          <w:rFonts w:ascii="Times New Roman" w:hAnsi="Times New Roman"/>
          <w:sz w:val="28"/>
        </w:rPr>
        <w:t>вправе: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получать в установленном порядке от органов </w:t>
      </w:r>
      <w:r>
        <w:rPr>
          <w:rFonts w:ascii="Times New Roman" w:hAnsi="Times New Roman"/>
          <w:sz w:val="28"/>
        </w:rPr>
        <w:t>администрации города Магнитогорска</w:t>
      </w:r>
      <w:r>
        <w:rPr>
          <w:rFonts w:ascii="Times New Roman" w:hAnsi="Times New Roman"/>
          <w:sz w:val="28"/>
        </w:rPr>
        <w:t xml:space="preserve">, общественных и иных организаций информацию, необходимую для работы </w:t>
      </w:r>
      <w:r>
        <w:rPr>
          <w:rFonts w:ascii="Times New Roman" w:hAnsi="Times New Roman"/>
          <w:sz w:val="28"/>
        </w:rPr>
        <w:t>рабочей группы;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разрабатывать и обсуждать предложения о развитии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в </w:t>
      </w:r>
      <w:r>
        <w:rPr>
          <w:rFonts w:ascii="Times New Roman" w:hAnsi="Times New Roman"/>
          <w:sz w:val="28"/>
        </w:rPr>
        <w:t>городе Магнитогорске</w:t>
      </w:r>
      <w:r>
        <w:rPr>
          <w:rFonts w:ascii="Times New Roman" w:hAnsi="Times New Roman"/>
          <w:sz w:val="28"/>
        </w:rPr>
        <w:t>;</w:t>
      </w: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приглашать на заседания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представителей органов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>, руководителей общественных объединений и иных организаций по вопросам поддержки и развития благотворительной деятельности и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 xml:space="preserve">) в </w:t>
      </w:r>
      <w:r>
        <w:rPr>
          <w:rFonts w:ascii="Times New Roman" w:hAnsi="Times New Roman"/>
          <w:sz w:val="28"/>
        </w:rPr>
        <w:t xml:space="preserve">городе </w:t>
      </w:r>
      <w:r>
        <w:rPr>
          <w:rFonts w:ascii="Times New Roman" w:hAnsi="Times New Roman"/>
          <w:sz w:val="28"/>
        </w:rPr>
        <w:t>Магнитогорск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.</w:t>
      </w:r>
    </w:p>
    <w:p w14:paraId="9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. Состав и организация деятельности </w:t>
      </w:r>
    </w:p>
    <w:p w14:paraId="9A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 состав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входит председатель и члены </w:t>
      </w:r>
      <w:r>
        <w:rPr>
          <w:rFonts w:ascii="Times New Roman" w:hAnsi="Times New Roman"/>
          <w:sz w:val="28"/>
        </w:rPr>
        <w:t>рабочей группы.</w:t>
      </w: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осуществляет общее руководство деятельностью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и обеспечивает его планирование, председательствует на заседаниях </w:t>
      </w:r>
      <w:r>
        <w:rPr>
          <w:rFonts w:ascii="Times New Roman" w:hAnsi="Times New Roman"/>
          <w:sz w:val="28"/>
        </w:rPr>
        <w:t>рабочей группы,</w:t>
      </w:r>
      <w:r>
        <w:rPr>
          <w:rFonts w:ascii="Times New Roman" w:hAnsi="Times New Roman"/>
          <w:sz w:val="28"/>
        </w:rPr>
        <w:t xml:space="preserve"> созывает заседания </w:t>
      </w:r>
      <w:r>
        <w:rPr>
          <w:rFonts w:ascii="Times New Roman" w:hAnsi="Times New Roman"/>
          <w:sz w:val="28"/>
        </w:rPr>
        <w:t>рабочей группы,</w:t>
      </w:r>
      <w:r>
        <w:rPr>
          <w:rFonts w:ascii="Times New Roman" w:hAnsi="Times New Roman"/>
          <w:sz w:val="28"/>
        </w:rPr>
        <w:t xml:space="preserve"> определяет место и время проведения заседаний </w:t>
      </w:r>
      <w:r>
        <w:rPr>
          <w:rFonts w:ascii="Times New Roman" w:hAnsi="Times New Roman"/>
          <w:sz w:val="28"/>
        </w:rPr>
        <w:t>рабочей группы,</w:t>
      </w:r>
      <w:r>
        <w:rPr>
          <w:rFonts w:ascii="Times New Roman" w:hAnsi="Times New Roman"/>
          <w:sz w:val="28"/>
        </w:rPr>
        <w:t xml:space="preserve"> обеспечивает контроль за исполнением принятых решений. </w:t>
      </w:r>
    </w:p>
    <w:p w14:paraId="9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Члены </w:t>
      </w:r>
      <w:r>
        <w:rPr>
          <w:rFonts w:ascii="Times New Roman" w:hAnsi="Times New Roman"/>
          <w:sz w:val="28"/>
        </w:rPr>
        <w:t xml:space="preserve">рабочей группы </w:t>
      </w:r>
      <w:r>
        <w:rPr>
          <w:rFonts w:ascii="Times New Roman" w:hAnsi="Times New Roman"/>
          <w:sz w:val="28"/>
        </w:rPr>
        <w:t xml:space="preserve">вносят предложения в повестку дня заседания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, знакомятся с материалами по вопросам, рассматриваемым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, лично участвуют в заседаниях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, выполняют поручения председателя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либо лица, исполняющего его обязанности, рассматривают проекты документов, участвуют в подготовке вопросов для рассмотрения на заседании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>.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 состав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могут включаться представители органов </w:t>
      </w:r>
      <w:r>
        <w:rPr>
          <w:rFonts w:ascii="Times New Roman" w:hAnsi="Times New Roman"/>
          <w:sz w:val="28"/>
        </w:rPr>
        <w:t>администрации города Магнитогорска</w:t>
      </w:r>
      <w:r>
        <w:rPr>
          <w:rFonts w:ascii="Times New Roman" w:hAnsi="Times New Roman"/>
          <w:sz w:val="28"/>
        </w:rPr>
        <w:t xml:space="preserve">, общественных и иных организаций, а также жители </w:t>
      </w:r>
      <w:r>
        <w:rPr>
          <w:rFonts w:ascii="Times New Roman" w:hAnsi="Times New Roman"/>
          <w:sz w:val="28"/>
        </w:rPr>
        <w:t>города Магнитогорска</w:t>
      </w:r>
      <w:r>
        <w:rPr>
          <w:rFonts w:ascii="Times New Roman" w:hAnsi="Times New Roman"/>
          <w:sz w:val="28"/>
        </w:rPr>
        <w:t>, участвующие в благотворительной и добровольческой (волонтерской) деятельности.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Заседания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проводятся по мере необходимости, но не реже одного раза в год и считаются правомочными при участии в них не менее половины членов </w:t>
      </w:r>
      <w:r>
        <w:rPr>
          <w:rFonts w:ascii="Times New Roman" w:hAnsi="Times New Roman"/>
          <w:sz w:val="28"/>
        </w:rPr>
        <w:t>рабочей группы.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Решения, принимаемые на заседаниях </w:t>
      </w:r>
      <w:r>
        <w:rPr>
          <w:rFonts w:ascii="Times New Roman" w:hAnsi="Times New Roman"/>
          <w:sz w:val="28"/>
        </w:rPr>
        <w:t>рабочей группы,</w:t>
      </w:r>
      <w:r>
        <w:rPr>
          <w:rFonts w:ascii="Times New Roman" w:hAnsi="Times New Roman"/>
          <w:sz w:val="28"/>
        </w:rPr>
        <w:t xml:space="preserve"> оформляются протоколами, которые подписываются председательствующим на заседании </w:t>
      </w:r>
      <w:r>
        <w:rPr>
          <w:rFonts w:ascii="Times New Roman" w:hAnsi="Times New Roman"/>
          <w:sz w:val="28"/>
        </w:rPr>
        <w:t>рабочей группы.</w:t>
      </w:r>
      <w:r>
        <w:rPr>
          <w:rFonts w:ascii="Times New Roman" w:hAnsi="Times New Roman"/>
          <w:sz w:val="28"/>
        </w:rPr>
        <w:t xml:space="preserve"> Решения принимаются большинством голосов от числа присутствующих на заседании членов </w:t>
      </w:r>
      <w:r>
        <w:rPr>
          <w:rFonts w:ascii="Times New Roman" w:hAnsi="Times New Roman"/>
          <w:sz w:val="28"/>
        </w:rPr>
        <w:t>рабочей группы.</w:t>
      </w:r>
      <w:r>
        <w:rPr>
          <w:rFonts w:ascii="Times New Roman" w:hAnsi="Times New Roman"/>
          <w:sz w:val="28"/>
        </w:rPr>
        <w:t xml:space="preserve"> При равенстве голосов решающим является голос председательствующего.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Рабочая группа</w:t>
      </w:r>
      <w:r>
        <w:rPr>
          <w:rFonts w:ascii="Times New Roman" w:hAnsi="Times New Roman"/>
          <w:sz w:val="28"/>
        </w:rPr>
        <w:t xml:space="preserve"> может создавать постоянные и временные рабочие группы по изучению проблем, связанных с благотворительной деятельностью и добровольчеством.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Решения </w:t>
      </w:r>
      <w:r>
        <w:rPr>
          <w:rFonts w:ascii="Times New Roman" w:hAnsi="Times New Roman"/>
          <w:sz w:val="28"/>
        </w:rPr>
        <w:t>рабочей группы</w:t>
      </w:r>
      <w:r>
        <w:rPr>
          <w:rFonts w:ascii="Times New Roman" w:hAnsi="Times New Roman"/>
          <w:sz w:val="28"/>
        </w:rPr>
        <w:t xml:space="preserve"> носят рекомендательный характер.</w:t>
      </w:r>
    </w:p>
    <w:p w14:paraId="A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Вр-2245155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0" w:type="paragraph">
    <w:name w:val="header"/>
    <w:basedOn w:val="Style_4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4_ch"/>
    <w:link w:val="Style_20"/>
  </w:style>
  <w:style w:styleId="Style_3" w:type="paragraph">
    <w:name w:val="Standard"/>
    <w:link w:val="Style_3_ch"/>
    <w:pPr>
      <w:spacing w:after="120" w:line="240" w:lineRule="auto"/>
      <w:ind/>
    </w:pPr>
    <w:rPr>
      <w:rFonts w:ascii="Times New Roman" w:hAnsi="Times New Roman"/>
      <w:sz w:val="24"/>
    </w:rPr>
  </w:style>
  <w:style w:styleId="Style_3_ch" w:type="character">
    <w:name w:val="Standard"/>
    <w:link w:val="Style_3"/>
    <w:rPr>
      <w:rFonts w:ascii="Times New Roman" w:hAnsi="Times New Roman"/>
      <w:sz w:val="24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2025-10-27T05:26:18Z</dcterms:modified>
</cp:coreProperties>
</file>