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28" w:lineRule="auto"/>
        <w:ind w:firstLine="11199" w:left="0"/>
        <w:rPr>
          <w:rFonts w:ascii="Times New Roman" w:hAnsi="Times New Roman"/>
          <w:sz w:val="26"/>
        </w:rPr>
      </w:pPr>
    </w:p>
    <w:p w14:paraId="04000000">
      <w:pPr>
        <w:widowControl w:val="0"/>
        <w:spacing w:after="0" w:line="228" w:lineRule="auto"/>
        <w:ind w:firstLine="11199" w:left="0"/>
        <w:rPr>
          <w:rFonts w:ascii="Times New Roman" w:hAnsi="Times New Roman"/>
          <w:sz w:val="26"/>
        </w:rPr>
      </w:pPr>
      <w:bookmarkStart w:id="1" w:name="_GoBack"/>
      <w:bookmarkEnd w:id="1"/>
      <w:r>
        <w:rPr>
          <w:rFonts w:ascii="Times New Roman" w:hAnsi="Times New Roman"/>
          <w:sz w:val="26"/>
        </w:rPr>
        <w:t xml:space="preserve">Приложение </w:t>
      </w:r>
    </w:p>
    <w:p w14:paraId="05000000">
      <w:pPr>
        <w:widowControl w:val="0"/>
        <w:spacing w:after="0" w:line="228" w:lineRule="auto"/>
        <w:ind w:firstLine="11199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 постановлению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</w:t>
      </w:r>
    </w:p>
    <w:p w14:paraId="06000000">
      <w:pPr>
        <w:widowControl w:val="0"/>
        <w:spacing w:after="0" w:line="228" w:lineRule="auto"/>
        <w:ind w:firstLine="11199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города Магнитогорска</w:t>
      </w:r>
    </w:p>
    <w:p w14:paraId="07000000">
      <w:pPr>
        <w:widowControl w:val="0"/>
        <w:spacing w:after="0" w:line="228" w:lineRule="auto"/>
        <w:ind w:firstLine="11199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</w:t>
      </w:r>
      <w:r>
        <w:rPr>
          <w:rFonts w:ascii="Times New Roman" w:hAnsi="Times New Roman"/>
          <w:sz w:val="26"/>
        </w:rPr>
        <w:t xml:space="preserve"> 28.08.25 № 7547-п</w:t>
      </w:r>
    </w:p>
    <w:p w14:paraId="08000000">
      <w:pPr>
        <w:spacing w:after="0" w:line="228" w:lineRule="auto"/>
        <w:ind/>
        <w:rPr>
          <w:rFonts w:ascii="Times New Roman" w:hAnsi="Times New Roman"/>
          <w:sz w:val="26"/>
        </w:rPr>
      </w:pPr>
    </w:p>
    <w:p w14:paraId="09000000">
      <w:pPr>
        <w:spacing w:after="0" w:line="228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ПЛАН МЕРОПРИЯТИЙ,</w:t>
      </w:r>
    </w:p>
    <w:p w14:paraId="0A000000">
      <w:pPr>
        <w:spacing w:after="0" w:line="228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направленных на развитие промышленного потенциала города Магнитогорска</w:t>
      </w:r>
    </w:p>
    <w:p w14:paraId="0B000000">
      <w:pPr>
        <w:spacing w:after="0" w:line="228" w:lineRule="auto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 2025-2027 годы</w:t>
      </w:r>
    </w:p>
    <w:p w14:paraId="0C000000">
      <w:pPr>
        <w:spacing w:after="0" w:line="240" w:lineRule="auto"/>
        <w:ind w:firstLine="567" w:left="-567"/>
        <w:jc w:val="right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6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7"/>
        <w:gridCol w:w="3977"/>
        <w:gridCol w:w="1815"/>
        <w:gridCol w:w="3195"/>
        <w:gridCol w:w="6168"/>
      </w:tblGrid>
      <w:tr>
        <w:trPr>
          <w:trHeight w:hRule="atLeast" w:val="809"/>
          <w:tblHeader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исполнения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Ответственные исполнители </w:t>
            </w: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Планируемые результаты </w:t>
            </w:r>
          </w:p>
        </w:tc>
      </w:tr>
      <w:tr>
        <w:trPr>
          <w:trHeight w:hRule="atLeast" w:val="360"/>
        </w:trPr>
        <w:tc>
          <w:tcPr>
            <w:tcW w:type="dxa" w:w="157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финансовых инструментов государственной (муниципальной) поддержки в целях модернизации и развития промышленных предприятий</w:t>
            </w:r>
          </w:p>
        </w:tc>
      </w:tr>
      <w:tr>
        <w:trPr>
          <w:trHeight w:hRule="atLeast" w:val="1386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мер поддержки управляющим компаниям индустриальных (промышленных) парков в виде налоговых льгот по земельному налогу</w:t>
            </w:r>
          </w:p>
          <w:p w14:paraId="1600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</w:t>
            </w:r>
          </w:p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2025 – 2027 годов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</w:t>
            </w: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ль</w:t>
            </w:r>
            <w:r>
              <w:rPr>
                <w:rFonts w:ascii="Times New Roman" w:hAnsi="Times New Roman"/>
              </w:rPr>
              <w:t>гота по земельному налогу управляющим компаниям индустриальных (промышленных) парков</w:t>
            </w:r>
          </w:p>
        </w:tc>
      </w:tr>
      <w:tr>
        <w:trPr>
          <w:trHeight w:hRule="atLeast" w:val="2207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содействия в организации участия промышленных предприятий города Магнитогорска в получении региональных мер Государственной поддержки, предусмотренных в </w:t>
            </w:r>
            <w:r>
              <w:rPr>
                <w:rFonts w:ascii="Times New Roman" w:hAnsi="Times New Roman"/>
              </w:rPr>
              <w:t>рамках государственной программы Челябинской области по развитию промышленности</w:t>
            </w: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Ежеквартально, в течение 2025 – 2027 годов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Магнитогорска;</w:t>
            </w:r>
          </w:p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внешних связей и молодежной политики администрации город</w:t>
            </w:r>
            <w:r>
              <w:rPr>
                <w:rFonts w:ascii="Times New Roman" w:hAnsi="Times New Roman"/>
              </w:rPr>
              <w:t>а Магнитогорска</w:t>
            </w: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0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Размещена информация о региональных мерах Государственной поддержки, предусмотренных в рамках государственной программы Челябинской области по развитию промышленности:</w:t>
            </w:r>
          </w:p>
          <w:p w14:paraId="21000000">
            <w:pPr>
              <w:numPr>
                <w:ilvl w:val="0"/>
                <w:numId w:val="1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официальном сайте администрации города Магнитогорска;</w:t>
            </w:r>
          </w:p>
          <w:p w14:paraId="22000000">
            <w:pPr>
              <w:numPr>
                <w:ilvl w:val="0"/>
                <w:numId w:val="2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группе Вконта</w:t>
            </w:r>
            <w:r>
              <w:rPr>
                <w:rFonts w:ascii="Times New Roman" w:hAnsi="Times New Roman"/>
              </w:rPr>
              <w:t>кте «Магнитогорск/Поддержка бизнеса»</w:t>
            </w:r>
          </w:p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содействия в организации участия промышленных предприятий-субъектов МСП города Магнитогорска в получении мер государственной поддержки, реализуемых областными институтами поддержки субъектов МСП </w:t>
            </w:r>
            <w:r>
              <w:rPr>
                <w:rFonts w:ascii="Times New Roman" w:hAnsi="Times New Roman"/>
              </w:rPr>
              <w:t>(микрокредитная организация, региональная гарантийная организация, центр поддержки экспорта и т.д.)</w:t>
            </w:r>
          </w:p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Ежеквартально, в течение 2025 – 2027 годов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Магнитогорска;</w:t>
            </w:r>
          </w:p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внешних связей и молодежной политик</w:t>
            </w:r>
            <w:r>
              <w:rPr>
                <w:rFonts w:ascii="Times New Roman" w:hAnsi="Times New Roman"/>
              </w:rPr>
              <w:t>и администрации города Магнитогорска</w:t>
            </w: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Размещена информация о мерах государственной поддержки, реализуемых областными институтами поддержки субъектов МСП (микрокредитная организация, региональная гарантийная организация, центр поддержки экспорта и т.д.):</w:t>
            </w:r>
          </w:p>
          <w:p w14:paraId="2B000000">
            <w:pPr>
              <w:numPr>
                <w:ilvl w:val="0"/>
                <w:numId w:val="3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официальном сайте администрации города Магнитогорска;</w:t>
            </w:r>
          </w:p>
          <w:p w14:paraId="2C000000">
            <w:pPr>
              <w:numPr>
                <w:ilvl w:val="0"/>
                <w:numId w:val="4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группе Вконтакте «Магнитогорск/Поддержка бизнеса»</w:t>
            </w:r>
          </w:p>
        </w:tc>
      </w:tr>
      <w:tr>
        <w:trPr>
          <w:trHeight w:hRule="atLeast" w:val="463"/>
        </w:trPr>
        <w:tc>
          <w:tcPr>
            <w:tcW w:type="dxa" w:w="157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привлечению инвестиций в промышленность муниципального образования, сопровождению инвестиционных проектов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</w:t>
            </w:r>
            <w:r>
              <w:rPr>
                <w:rFonts w:ascii="Times New Roman" w:hAnsi="Times New Roman"/>
              </w:rPr>
              <w:t>инвестиционных предложений в сфере промышленности по приоритетным отраслям</w:t>
            </w: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Ежегодно, </w:t>
            </w:r>
          </w:p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2025 – 2027 годов</w:t>
            </w:r>
          </w:p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 апреля,</w:t>
            </w:r>
          </w:p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 октября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Магнитогорска;</w:t>
            </w:r>
          </w:p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управлению имуществом и земельных о</w:t>
            </w:r>
            <w:r>
              <w:rPr>
                <w:rFonts w:ascii="Times New Roman" w:hAnsi="Times New Roman"/>
              </w:rPr>
              <w:t>тношений администрации города Магнитогорска;</w:t>
            </w:r>
          </w:p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архитектуры и градостроительства администрации города Магнитогорска</w:t>
            </w:r>
          </w:p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Размещена информация о свободных муниципальных площадках для реализации инвестиционных проектов в сфере промышленности:</w:t>
            </w:r>
          </w:p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фед</w:t>
            </w:r>
            <w:r>
              <w:rPr>
                <w:rFonts w:ascii="Times New Roman" w:hAnsi="Times New Roman"/>
              </w:rPr>
              <w:t xml:space="preserve">еральной инвестиционной карте; </w:t>
            </w:r>
          </w:p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региональном инвестиционном портале Челябинской области;</w:t>
            </w:r>
          </w:p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официальном сайте администрации города Магнитогорска;</w:t>
            </w:r>
          </w:p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Актуализированы данные о свободных муниципальных инвестиционных площадках города Магнитогорска </w:t>
            </w:r>
          </w:p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2316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реализации инвестиционных проектов города Магнитогорска в сфере промышленности</w:t>
            </w: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Ежеквартально, в течение 2025 – 2027 годов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Магнитогорска;</w:t>
            </w:r>
          </w:p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hd w:fill="FFE779" w:val="clear"/>
              </w:rPr>
            </w:pPr>
            <w:r>
              <w:rPr>
                <w:rFonts w:ascii="Times New Roman" w:hAnsi="Times New Roman"/>
              </w:rPr>
              <w:t>промышленные предприятия города Магнитогорска</w:t>
            </w:r>
          </w:p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hd w:fill="FFE779" w:val="clear"/>
              </w:rPr>
            </w:pP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hd w:fill="FFD821" w:val="clear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 Проведен мониторинг инвестиционных проектов промышленных предприятий муниципального образования (количество предприятий, количество инвестиционных проектов, объем инвестиций, количество создаваемых рабочих мест);</w:t>
            </w:r>
          </w:p>
          <w:p w14:paraId="4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Внесены сведения об инвестпроектах в ин</w:t>
            </w:r>
            <w:r>
              <w:rPr>
                <w:rFonts w:ascii="Times New Roman" w:hAnsi="Times New Roman"/>
              </w:rPr>
              <w:t xml:space="preserve">формационные системы: «БАРС. Муниципалитет. Паспорт муниципальных образований» (БАРС) и автоматизированную систему управления проектами (АСУП) </w:t>
            </w:r>
          </w:p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492"/>
        </w:trPr>
        <w:tc>
          <w:tcPr>
            <w:tcW w:type="dxa" w:w="157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развитию кадрового потенциала промышленности муниципального образования</w:t>
            </w:r>
          </w:p>
        </w:tc>
      </w:tr>
      <w:tr>
        <w:trPr>
          <w:trHeight w:hRule="exact" w:val="1281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Выявление </w:t>
            </w:r>
            <w:r>
              <w:rPr>
                <w:rFonts w:ascii="Times New Roman" w:hAnsi="Times New Roman"/>
              </w:rPr>
              <w:t>потребности действующих промышленных предприятий в рабочих кадрах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Ежегодно, </w:t>
            </w:r>
          </w:p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течение 2025 – 2027 годов </w:t>
            </w:r>
          </w:p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 апреля</w:t>
            </w:r>
          </w:p>
          <w:p w14:paraId="4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</w:t>
            </w:r>
          </w:p>
        </w:tc>
        <w:tc>
          <w:tcPr>
            <w:tcW w:type="dxa" w:w="6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 мониторинг потребности промышленных предприятий города Маг</w:t>
            </w:r>
            <w:r>
              <w:rPr>
                <w:rFonts w:ascii="Times New Roman" w:hAnsi="Times New Roman"/>
              </w:rPr>
              <w:t>нитогорска в рабочих кадрах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промышленного туризма в части организации профориентационных мероприятий: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Ежегодно, </w:t>
            </w:r>
          </w:p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2025 – 2027 годов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Магнитогорска;</w:t>
            </w:r>
          </w:p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Центр компетенций по развитию </w:t>
            </w:r>
            <w:r>
              <w:rPr>
                <w:rFonts w:ascii="Times New Roman" w:hAnsi="Times New Roman"/>
              </w:rPr>
              <w:t>промышленного туризма ПАО «ММК»</w:t>
            </w:r>
          </w:p>
        </w:tc>
        <w:tc>
          <w:tcPr>
            <w:tcW w:type="dxa" w:w="6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Размещена информация о ежегодном проекте Агентства стратегических инициатив «Открытая промышленность»:</w:t>
            </w:r>
          </w:p>
          <w:p w14:paraId="57000000">
            <w:pPr>
              <w:numPr>
                <w:ilvl w:val="0"/>
                <w:numId w:val="5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официальном сайте администрации города Магнитогорска;</w:t>
            </w:r>
          </w:p>
          <w:p w14:paraId="58000000">
            <w:pPr>
              <w:numPr>
                <w:ilvl w:val="0"/>
                <w:numId w:val="6"/>
              </w:numPr>
              <w:spacing w:after="0"/>
              <w:ind w:firstLine="0" w:left="0"/>
            </w:pPr>
            <w:r>
              <w:rPr>
                <w:rFonts w:ascii="Times New Roman" w:hAnsi="Times New Roman"/>
              </w:rPr>
              <w:t>в группе Вконтакте «Магнитогорск/Поддержка бизнеса»</w:t>
            </w:r>
          </w:p>
          <w:p w14:paraId="5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среди школ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Ежегодно, </w:t>
            </w:r>
          </w:p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2025 – 2027 годов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города Магнитогорска;</w:t>
            </w:r>
          </w:p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Магнитогорска;</w:t>
            </w:r>
          </w:p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промышленные предприятия города Магнитогорска</w:t>
            </w:r>
          </w:p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16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 и проведены экску</w:t>
            </w:r>
            <w:r>
              <w:rPr>
                <w:rFonts w:ascii="Times New Roman" w:hAnsi="Times New Roman"/>
              </w:rPr>
              <w:t xml:space="preserve">рсии для школьников на промышленные предприятия города Магнитогорска 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type="dxa" w:w="397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среди студентов</w:t>
            </w:r>
          </w:p>
        </w:tc>
        <w:tc>
          <w:tcPr>
            <w:tcW w:type="dxa" w:w="181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</w:t>
            </w:r>
          </w:p>
          <w:p w14:paraId="6600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2025 – 2027 годов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hd w:fill="FFD821" w:val="clear"/>
              </w:rPr>
            </w:pPr>
            <w:r>
              <w:rPr>
                <w:rFonts w:ascii="Times New Roman" w:hAnsi="Times New Roman"/>
              </w:rPr>
              <w:t>ФГБОУ ВО «Магнитогорский государственный технический университет им. Г.И. Носова»;</w:t>
            </w:r>
          </w:p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hd w:fill="FFD821" w:val="clear"/>
              </w:rPr>
            </w:pPr>
            <w:r>
              <w:rPr>
                <w:rFonts w:ascii="Times New Roman" w:hAnsi="Times New Roman"/>
              </w:rPr>
              <w:t>Управление экономики и инвестиций</w:t>
            </w:r>
            <w:r>
              <w:rPr>
                <w:rFonts w:ascii="Times New Roman" w:hAnsi="Times New Roman"/>
              </w:rPr>
              <w:t xml:space="preserve"> администрации города Магнитогорска;</w:t>
            </w:r>
          </w:p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hd w:fill="FFD821" w:val="clear"/>
              </w:rPr>
            </w:pPr>
            <w:r>
              <w:rPr>
                <w:rFonts w:ascii="Times New Roman" w:hAnsi="Times New Roman"/>
              </w:rPr>
              <w:t>промышленные предприятия города Магнитогорска</w:t>
            </w:r>
          </w:p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hd w:fill="FFD821" w:val="clear"/>
              </w:rPr>
            </w:pPr>
          </w:p>
        </w:tc>
        <w:tc>
          <w:tcPr>
            <w:tcW w:type="dxa" w:w="616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Организованы и проведены экскурсии для студентов на промышленные предприятия города Магнитогорска </w:t>
            </w:r>
          </w:p>
        </w:tc>
      </w:tr>
      <w:tr>
        <w:trPr>
          <w:trHeight w:hRule="atLeast" w:val="503"/>
        </w:trPr>
        <w:tc>
          <w:tcPr>
            <w:tcW w:type="dxa" w:w="1573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Продвижение продукции, производимой промышленными предприятиями муниципа</w:t>
            </w:r>
            <w:r>
              <w:rPr>
                <w:rFonts w:ascii="Times New Roman" w:hAnsi="Times New Roman"/>
              </w:rPr>
              <w:t>льного образования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содействия в размещении промышленными предприятиями муниципального образования информации о своей продукции в каталоге промышленной продукции ГИСП</w:t>
            </w: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</w:t>
            </w:r>
          </w:p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2025 – 2027 годов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экономики и инвестиций </w:t>
            </w:r>
            <w:r>
              <w:rPr>
                <w:rFonts w:ascii="Times New Roman" w:hAnsi="Times New Roman"/>
              </w:rPr>
              <w:t>администрации города Магнитогорска;</w:t>
            </w:r>
          </w:p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внешних связей и молодежной политики администрации города Магнитогорска</w:t>
            </w:r>
          </w:p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Размещена информация о наличии возможности размещения промышленными предприятиями сведений о своей продукции в каталоге промышленной продукц</w:t>
            </w:r>
            <w:r>
              <w:rPr>
                <w:rFonts w:ascii="Times New Roman" w:hAnsi="Times New Roman"/>
              </w:rPr>
              <w:t>ии ГИСП:</w:t>
            </w:r>
          </w:p>
          <w:p w14:paraId="75000000">
            <w:pPr>
              <w:numPr>
                <w:ilvl w:val="0"/>
                <w:numId w:val="7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официальном сайте администрации города Магнитогорска;</w:t>
            </w:r>
          </w:p>
          <w:p w14:paraId="76000000">
            <w:pPr>
              <w:numPr>
                <w:ilvl w:val="0"/>
                <w:numId w:val="8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группе Вконтакте «Магнитогорск/Поддержка бизнеса»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содействия в организации участия промышленных предприятий муниципального образования в конгрессно-выставочных мероприятиях</w:t>
            </w: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Ежеквартально, в течение 2025 – 2027 годов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экономики и инвестиций администрации города Магнитогорска;</w:t>
            </w:r>
          </w:p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внешних связей и молодежной политики администрации города Магнитогорска</w:t>
            </w:r>
          </w:p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Размещена информация о конгрессно-выставочных мероприятиях:</w:t>
            </w:r>
          </w:p>
          <w:p w14:paraId="7E000000">
            <w:pPr>
              <w:numPr>
                <w:ilvl w:val="0"/>
                <w:numId w:val="9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официальном сайте администрации города Магнитогорска;</w:t>
            </w:r>
          </w:p>
          <w:p w14:paraId="7F000000">
            <w:pPr>
              <w:numPr>
                <w:ilvl w:val="0"/>
                <w:numId w:val="9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группе Вконтакте «Магнитогорск/Поддержка бизнеса» </w:t>
            </w:r>
          </w:p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3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содействия промышленным предприятиям города Магнитогорска во включении в реестр российской продукции</w:t>
            </w:r>
            <w:r>
              <w:rPr>
                <w:rFonts w:ascii="Times New Roman" w:hAnsi="Times New Roman"/>
              </w:rPr>
              <w:t xml:space="preserve"> в соответствии с Правилами, утвержденными постановлением Правительства Российской Федерации от 17 июля 2015 г. № 719 «Ο подтверждении производства промышленной продукции на территории Российской Федерации»</w:t>
            </w:r>
          </w:p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Ежегодно,</w:t>
            </w:r>
          </w:p>
          <w:p w14:paraId="8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2025 – 2027 годов</w:t>
            </w:r>
          </w:p>
        </w:tc>
        <w:tc>
          <w:tcPr>
            <w:tcW w:type="dxa" w:w="3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>
              <w:rPr>
                <w:rFonts w:ascii="Times New Roman" w:hAnsi="Times New Roman"/>
              </w:rPr>
              <w:t xml:space="preserve"> экономики и инвестиций администрации города Магнитогорска;</w:t>
            </w:r>
          </w:p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6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Размещена информация о наличии возможности включения промышленных предприятий города Магнитогорска в реестр российско</w:t>
            </w:r>
            <w:r>
              <w:rPr>
                <w:rFonts w:ascii="Times New Roman" w:hAnsi="Times New Roman"/>
              </w:rPr>
              <w:t>й продукции:</w:t>
            </w:r>
          </w:p>
          <w:p w14:paraId="89000000">
            <w:pPr>
              <w:numPr>
                <w:ilvl w:val="0"/>
                <w:numId w:val="10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официальном сайте администрации города Магнитогорска;</w:t>
            </w:r>
          </w:p>
          <w:p w14:paraId="8A000000">
            <w:pPr>
              <w:numPr>
                <w:ilvl w:val="0"/>
                <w:numId w:val="10"/>
              </w:numPr>
              <w:spacing w:after="0" w:line="240" w:lineRule="auto"/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группе Вконтакте «Магнитогорск/Поддержка бизнеса»</w:t>
            </w:r>
          </w:p>
          <w:p w14:paraId="8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8C000000">
      <w:pPr>
        <w:spacing w:after="0" w:line="240" w:lineRule="auto"/>
        <w:ind w:firstLine="567" w:left="-567"/>
        <w:jc w:val="both"/>
        <w:rPr>
          <w:rFonts w:ascii="Times New Roman" w:hAnsi="Times New Roman"/>
        </w:rPr>
      </w:pPr>
    </w:p>
    <w:sectPr>
      <w:headerReference r:id="rId1" w:type="default"/>
      <w:pgSz w:h="11908" w:orient="landscape" w:w="16848"/>
      <w:pgMar w:bottom="568" w:footer="0" w:gutter="0" w:header="708" w:left="1134" w:right="549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Нижний колонтитул Знак"/>
    <w:basedOn w:val="Style_7"/>
    <w:link w:val="Style_6_ch"/>
  </w:style>
  <w:style w:styleId="Style_6_ch" w:type="character">
    <w:name w:val="Нижний колонтитул Знак"/>
    <w:basedOn w:val="Style_7_ch"/>
    <w:link w:val="Style_6"/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Body Text"/>
    <w:basedOn w:val="Style_3"/>
    <w:link w:val="Style_13_ch"/>
    <w:pPr>
      <w:spacing w:after="140" w:line="276" w:lineRule="auto"/>
      <w:ind/>
    </w:pPr>
  </w:style>
  <w:style w:styleId="Style_13_ch" w:type="character">
    <w:name w:val="Body Text"/>
    <w:basedOn w:val="Style_3_ch"/>
    <w:link w:val="Style_13"/>
  </w:style>
  <w:style w:styleId="Style_14" w:type="paragraph">
    <w:name w:val="Верхний колонтитул Знак"/>
    <w:basedOn w:val="Style_7"/>
    <w:link w:val="Style_14_ch"/>
  </w:style>
  <w:style w:styleId="Style_14_ch" w:type="character">
    <w:name w:val="Верхний колонтитул Знак"/>
    <w:basedOn w:val="Style_7_ch"/>
    <w:link w:val="Style_14"/>
  </w:style>
  <w:style w:styleId="Style_15" w:type="paragraph">
    <w:name w:val="Гиперссылка3"/>
    <w:link w:val="Style_15_ch"/>
    <w:rPr>
      <w:color w:val="0000FF"/>
      <w:u w:val="single"/>
    </w:rPr>
  </w:style>
  <w:style w:styleId="Style_15_ch" w:type="character">
    <w:name w:val="Гиперссылка3"/>
    <w:link w:val="Style_15"/>
    <w:rPr>
      <w:color w:val="0000FF"/>
      <w:u w:val="single"/>
    </w:rPr>
  </w:style>
  <w:style w:styleId="Style_16" w:type="paragraph">
    <w:name w:val="Balloon Text"/>
    <w:basedOn w:val="Style_3"/>
    <w:link w:val="Style_16_ch"/>
    <w:pPr>
      <w:spacing w:after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3_ch"/>
    <w:link w:val="Style_16"/>
    <w:rPr>
      <w:rFonts w:ascii="Segoe UI" w:hAnsi="Segoe UI"/>
      <w:sz w:val="1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toc 3"/>
    <w:next w:val="Style_3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Основной шрифт абзаца2"/>
    <w:link w:val="Style_20_ch"/>
  </w:style>
  <w:style w:styleId="Style_20_ch" w:type="character">
    <w:name w:val="Основной шрифт абзаца2"/>
    <w:link w:val="Style_20"/>
  </w:style>
  <w:style w:styleId="Style_21" w:type="paragraph">
    <w:name w:val="Заголовок 2 Знак"/>
    <w:link w:val="Style_21_ch"/>
    <w:rPr>
      <w:rFonts w:ascii="XO Thames" w:hAnsi="XO Thames"/>
      <w:b w:val="1"/>
      <w:sz w:val="28"/>
    </w:rPr>
  </w:style>
  <w:style w:styleId="Style_21_ch" w:type="character">
    <w:name w:val="Заголовок 2 Знак"/>
    <w:link w:val="Style_21"/>
    <w:rPr>
      <w:rFonts w:ascii="XO Thames" w:hAnsi="XO Thames"/>
      <w:b w:val="1"/>
      <w:sz w:val="28"/>
    </w:rPr>
  </w:style>
  <w:style w:styleId="Style_22" w:type="paragraph">
    <w:name w:val="heading 5"/>
    <w:next w:val="Style_3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23" w:type="paragraph">
    <w:name w:val="Знак примечания1"/>
    <w:basedOn w:val="Style_20"/>
    <w:link w:val="Style_23_ch"/>
    <w:rPr>
      <w:sz w:val="16"/>
    </w:rPr>
  </w:style>
  <w:style w:styleId="Style_23_ch" w:type="character">
    <w:name w:val="Знак примечания1"/>
    <w:basedOn w:val="Style_20_ch"/>
    <w:link w:val="Style_23"/>
    <w:rPr>
      <w:sz w:val="16"/>
    </w:rPr>
  </w:style>
  <w:style w:styleId="Style_24" w:type="paragraph">
    <w:name w:val="heading 1"/>
    <w:next w:val="Style_3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3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List"/>
    <w:basedOn w:val="Style_13"/>
    <w:link w:val="Style_28_ch"/>
    <w:rPr>
      <w:rFonts w:ascii="PT Astra Serif" w:hAnsi="PT Astra Serif"/>
    </w:rPr>
  </w:style>
  <w:style w:styleId="Style_28_ch" w:type="character">
    <w:name w:val="List"/>
    <w:basedOn w:val="Style_13_ch"/>
    <w:link w:val="Style_28"/>
    <w:rPr>
      <w:rFonts w:ascii="PT Astra Serif" w:hAnsi="PT Astra Serif"/>
    </w:rPr>
  </w:style>
  <w:style w:styleId="Style_29" w:type="paragraph">
    <w:name w:val="Header and Footer"/>
    <w:link w:val="Style_29_ch"/>
    <w:pPr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Основной шрифт абзаца3"/>
    <w:link w:val="Style_30_ch"/>
  </w:style>
  <w:style w:styleId="Style_30_ch" w:type="character">
    <w:name w:val="Основной шрифт абзаца3"/>
    <w:link w:val="Style_30"/>
  </w:style>
  <w:style w:styleId="Style_31" w:type="paragraph">
    <w:name w:val="index heading"/>
    <w:basedOn w:val="Style_3"/>
    <w:link w:val="Style_31_ch"/>
    <w:rPr>
      <w:rFonts w:ascii="PT Astra Serif" w:hAnsi="PT Astra Serif"/>
    </w:rPr>
  </w:style>
  <w:style w:styleId="Style_31_ch" w:type="character">
    <w:name w:val="index heading"/>
    <w:basedOn w:val="Style_3_ch"/>
    <w:link w:val="Style_31"/>
    <w:rPr>
      <w:rFonts w:ascii="PT Astra Serif" w:hAnsi="PT Astra Serif"/>
    </w:rPr>
  </w:style>
  <w:style w:styleId="Style_32" w:type="paragraph">
    <w:name w:val="toc 9"/>
    <w:next w:val="Style_3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Колонтитул"/>
    <w:basedOn w:val="Style_3"/>
    <w:link w:val="Style_33_ch"/>
  </w:style>
  <w:style w:styleId="Style_33_ch" w:type="character">
    <w:name w:val="Колонтитул"/>
    <w:basedOn w:val="Style_3_ch"/>
    <w:link w:val="Style_33"/>
  </w:style>
  <w:style w:styleId="Style_34" w:type="paragraph">
    <w:name w:val="Гиперссылка2"/>
    <w:link w:val="Style_34_ch"/>
    <w:rPr>
      <w:color w:val="0000FF"/>
      <w:u w:val="single"/>
    </w:rPr>
  </w:style>
  <w:style w:styleId="Style_34_ch" w:type="character">
    <w:name w:val="Гиперссылка2"/>
    <w:link w:val="Style_34"/>
    <w:rPr>
      <w:color w:val="0000FF"/>
      <w:u w:val="single"/>
    </w:rPr>
  </w:style>
  <w:style w:styleId="Style_35" w:type="paragraph">
    <w:name w:val="caption"/>
    <w:basedOn w:val="Style_3"/>
    <w:link w:val="Style_35_ch"/>
    <w:pPr>
      <w:spacing w:after="120" w:before="120"/>
      <w:ind/>
    </w:pPr>
    <w:rPr>
      <w:rFonts w:ascii="PT Astra Serif" w:hAnsi="PT Astra Serif"/>
      <w:i w:val="1"/>
      <w:sz w:val="24"/>
    </w:rPr>
  </w:style>
  <w:style w:styleId="Style_35_ch" w:type="character">
    <w:name w:val="caption"/>
    <w:basedOn w:val="Style_3_ch"/>
    <w:link w:val="Style_35"/>
    <w:rPr>
      <w:rFonts w:ascii="PT Astra Serif" w:hAnsi="PT Astra Serif"/>
      <w:i w:val="1"/>
      <w:sz w:val="24"/>
    </w:rPr>
  </w:style>
  <w:style w:styleId="Style_36" w:type="paragraph">
    <w:name w:val="toc 8"/>
    <w:next w:val="Style_3"/>
    <w:link w:val="Style_36_ch"/>
    <w:uiPriority w:val="39"/>
    <w:pPr>
      <w:ind w:firstLine="0" w:left="1400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footer"/>
    <w:basedOn w:val="Style_3"/>
    <w:link w:val="Style_3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7_ch" w:type="character">
    <w:name w:val="footer"/>
    <w:basedOn w:val="Style_3_ch"/>
    <w:link w:val="Style_37"/>
  </w:style>
  <w:style w:styleId="Style_38" w:type="paragraph">
    <w:name w:val="Обычный1"/>
    <w:link w:val="Style_38_ch"/>
  </w:style>
  <w:style w:styleId="Style_38_ch" w:type="character">
    <w:name w:val="Обычный1"/>
    <w:link w:val="Style_38"/>
  </w:style>
  <w:style w:styleId="Style_39" w:type="paragraph">
    <w:name w:val="Гиперссылка1"/>
    <w:link w:val="Style_39_ch"/>
    <w:rPr>
      <w:color w:val="0000FF"/>
      <w:u w:val="single"/>
    </w:rPr>
  </w:style>
  <w:style w:styleId="Style_39_ch" w:type="character">
    <w:name w:val="Гиперссылка1"/>
    <w:link w:val="Style_39"/>
    <w:rPr>
      <w:color w:val="0000FF"/>
      <w:u w:val="single"/>
    </w:rPr>
  </w:style>
  <w:style w:styleId="Style_40" w:type="paragraph">
    <w:name w:val="toc 5"/>
    <w:next w:val="Style_3"/>
    <w:link w:val="Style_40_ch"/>
    <w:uiPriority w:val="39"/>
    <w:pPr>
      <w:ind w:firstLine="0"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annotation text"/>
    <w:basedOn w:val="Style_3"/>
    <w:link w:val="Style_41_ch"/>
    <w:pPr>
      <w:spacing w:line="240" w:lineRule="auto"/>
      <w:ind/>
    </w:pPr>
    <w:rPr>
      <w:sz w:val="20"/>
    </w:rPr>
  </w:style>
  <w:style w:styleId="Style_41_ch" w:type="character">
    <w:name w:val="annotation text"/>
    <w:basedOn w:val="Style_3_ch"/>
    <w:link w:val="Style_41"/>
    <w:rPr>
      <w:sz w:val="20"/>
    </w:rPr>
  </w:style>
  <w:style w:styleId="Style_42" w:type="paragraph">
    <w:name w:val="Subtitle"/>
    <w:next w:val="Style_3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Title"/>
    <w:next w:val="Style_13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3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3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Заголовок1"/>
    <w:basedOn w:val="Style_17"/>
    <w:link w:val="Style_46_ch"/>
    <w:rPr>
      <w:rFonts w:ascii="PT Astra Serif" w:hAnsi="PT Astra Serif"/>
      <w:sz w:val="28"/>
    </w:rPr>
  </w:style>
  <w:style w:styleId="Style_46_ch" w:type="character">
    <w:name w:val="Заголовок1"/>
    <w:basedOn w:val="Style_17_ch"/>
    <w:link w:val="Style_46"/>
    <w:rPr>
      <w:rFonts w:ascii="PT Astra Serif" w:hAnsi="PT Astra Serif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47" w:type="paragraph">
    <w:name w:val="annotation subject"/>
    <w:basedOn w:val="Style_41"/>
    <w:next w:val="Style_41"/>
    <w:link w:val="Style_47_ch"/>
    <w:rPr>
      <w:b w:val="1"/>
    </w:rPr>
  </w:style>
  <w:style w:styleId="Style_47_ch" w:type="character">
    <w:name w:val="annotation subject"/>
    <w:basedOn w:val="Style_41_ch"/>
    <w:link w:val="Style_47"/>
    <w:rPr>
      <w:b w:val="1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2025-08-28T11:39:35Z</dcterms:modified>
</cp:coreProperties>
</file>