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14:paraId="04000000">
      <w:pPr>
        <w:widowControl w:val="0"/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6000000">
      <w:pPr>
        <w:widowControl w:val="0"/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23.07.2025 № 6369-П</w:t>
      </w:r>
    </w:p>
    <w:p w14:paraId="07000000">
      <w:pPr>
        <w:pStyle w:val="Style_2"/>
        <w:rPr>
          <w:rFonts w:ascii="Times New Roman" w:hAnsi="Times New Roman"/>
          <w:sz w:val="24"/>
        </w:rPr>
      </w:pPr>
    </w:p>
    <w:p w14:paraId="08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14:paraId="09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A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образования </w:t>
      </w:r>
      <w:bookmarkStart w:id="1" w:name="_GoBack"/>
      <w:bookmarkEnd w:id="1"/>
    </w:p>
    <w:p w14:paraId="0B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0C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D000000">
      <w:pPr>
        <w:pStyle w:val="Style_2"/>
        <w:ind/>
        <w:jc w:val="right"/>
        <w:rPr>
          <w:rFonts w:ascii="Times New Roman" w:hAnsi="Times New Roman"/>
          <w:sz w:val="16"/>
        </w:rPr>
      </w:pP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10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 на 2025-2030 годы</w:t>
      </w:r>
    </w:p>
    <w:p w14:paraId="1100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12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3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8238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 годы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 1. Создание условий для эффективного развития образования, </w:t>
            </w:r>
            <w:r>
              <w:rPr>
                <w:rFonts w:ascii="Times New Roman" w:hAnsi="Times New Roman"/>
                <w:sz w:val="24"/>
              </w:rPr>
              <w:t xml:space="preserve">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</w:t>
            </w:r>
            <w:r>
              <w:rPr>
                <w:rFonts w:ascii="Times New Roman" w:hAnsi="Times New Roman"/>
                <w:sz w:val="24"/>
              </w:rPr>
              <w:t xml:space="preserve">качественного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</w:t>
            </w:r>
            <w:r>
              <w:rPr>
                <w:rFonts w:ascii="Times New Roman" w:hAnsi="Times New Roman"/>
                <w:sz w:val="24"/>
              </w:rPr>
              <w:t>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</w:t>
            </w:r>
          </w:p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2. </w:t>
            </w:r>
          </w:p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3.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4. 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5. 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6.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7.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8.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9.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10.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12. 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13.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14. 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15.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16.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17.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18.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59 181 683,08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732-П.</w:t>
            </w:r>
          </w:p>
          <w:p w14:paraId="3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утвержденная постановлением Правительства Челябинской области от 30.12.2020 г. № 780-П</w:t>
            </w:r>
          </w:p>
        </w:tc>
      </w:tr>
    </w:tbl>
    <w:p w14:paraId="3F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0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1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2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3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4400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3221"/>
        <w:gridCol w:w="1259"/>
        <w:gridCol w:w="2240"/>
        <w:gridCol w:w="909"/>
        <w:gridCol w:w="850"/>
        <w:gridCol w:w="851"/>
        <w:gridCol w:w="850"/>
        <w:gridCol w:w="851"/>
        <w:gridCol w:w="780"/>
        <w:gridCol w:w="2372"/>
      </w:tblGrid>
      <w:tr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«Создание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искусства»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89,4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89,5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56,18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8A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2" w:name="P688"/>
      <w:bookmarkEnd w:id="2"/>
    </w:p>
    <w:p w14:paraId="8B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муниципальной программы в 2025 году</w:t>
      </w:r>
    </w:p>
    <w:p w14:paraId="8C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EB000000">
      <w:pPr>
        <w:pStyle w:val="Style_2"/>
        <w:ind/>
        <w:jc w:val="both"/>
        <w:rPr>
          <w:rFonts w:ascii="Times New Roman" w:hAnsi="Times New Roman"/>
          <w:sz w:val="24"/>
        </w:rPr>
      </w:pPr>
      <w:bookmarkStart w:id="3" w:name="P804"/>
      <w:bookmarkEnd w:id="3"/>
    </w:p>
    <w:p w14:paraId="EC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D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E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1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2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5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муниципальной программы в 2026 году</w:t>
      </w:r>
    </w:p>
    <w:p w14:paraId="F6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89,1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55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56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0"/>
        <w:gridCol w:w="5802"/>
        <w:gridCol w:w="5288"/>
        <w:gridCol w:w="3187"/>
      </w:tblGrid>
      <w:tr>
        <w:trPr>
          <w:tblHeader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муниципальной программы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Региональный проект «Поддержка семьи»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(2026 год)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лучшен</w:t>
            </w:r>
            <w:r>
              <w:rPr>
                <w:rFonts w:ascii="Times New Roman" w:hAnsi="Times New Roman"/>
                <w:sz w:val="24"/>
              </w:rPr>
              <w:t>ие</w:t>
            </w:r>
            <w:r>
              <w:rPr>
                <w:rFonts w:ascii="Times New Roman" w:hAnsi="Times New Roman"/>
                <w:sz w:val="24"/>
              </w:rPr>
              <w:t xml:space="preserve"> инфраструктур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 xml:space="preserve"> детских садов посредством адресного строительства и капитального ремонта детских садов с выявленной потребностью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Комплекс процессных мероприятий «Организация и предоставление дошкольного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 Комплекс процессных мероприятий «Поддержка и развитие дошкольных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Региональный проект «Все лучшее детям»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(2025-2027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Обновление образовательной инфраструктуры, позволяющей детям и молодёжи развивать свои способности и таланты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средств обучения и воспитания для кабинетов труда и ОБЗР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Региональный проект «Педагоги и наставники»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организаций. Обеспечение привлечения квалифицированных кадров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 Комплекс процессных мероприятий «Организация и предоставление общего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 Комплекс процессных мероприятий «Поддержка и развитие общеобразовательных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образования от общего </w:t>
            </w:r>
            <w:r>
              <w:rPr>
                <w:rFonts w:ascii="Times New Roman" w:hAnsi="Times New Roman"/>
                <w:sz w:val="24"/>
              </w:rPr>
              <w:t>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 Комплекс процессных мероприятий «Организация и предоставление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 Комплекс процессных мероприятий «Организация и предоставление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Созданы условия для получения доступного и качественного дополнительного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</w:t>
            </w:r>
            <w:r>
              <w:rPr>
                <w:rFonts w:ascii="Times New Roman" w:hAnsi="Times New Roman"/>
                <w:sz w:val="24"/>
              </w:rPr>
              <w:t>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 Комплекс процессных мероприятий «Поддержка и развитие учреждений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 Комплекс процессных мероприятий «Поддержка и развитие учреждений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Поддержка и развитие учреждений дополнительного образования в сфере культуры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творческой активности детей, оказание поддержки обучающимся и их педагогам-наставникам за высокие достижения в области культуры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 Региональный проект «Семейные ценности и инфраструктура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(2025-2026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 Комплекс процессных мероприятий «Отдых и оздоровление детей»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Региональный проект «Мы вместе (Воспитание гармонично развитой личности)»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(наименование): Служба внешних связей и молодежной политики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5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Социальное, культурное, духовное и физическое развитие молодежи, проживающей на территории города Магнитогорска</w:t>
            </w:r>
          </w:p>
        </w:tc>
        <w:tc>
          <w:tcPr>
            <w:tcW w:type="dxa" w:w="5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реального участия молодежи города Магнитогорска в мероприятиях, направленных на социальное, культурное, духовное и физическое развитие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</w:tr>
      <w:tr>
        <w:tc>
          <w:tcPr>
            <w:tcW w:type="dxa" w:w="8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«Молодежь Магнитки»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привлечения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 Комплекс процессных мероприятий «Сопровождение деятельности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 Комплекс процессных мероприятий «Развитие образовательной среды»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Развитие образовательной среды, обеспечивающей повышение качества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 Комплекс процессных мероприятий «Обеспечение функционирования Управления образования администрации города Магнитогорска»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Обеспечение функционирования отраслевого органа администрации города Магнитогорска, </w:t>
            </w:r>
            <w:r>
              <w:rPr>
                <w:rFonts w:ascii="Times New Roman" w:hAnsi="Times New Roman"/>
                <w:sz w:val="24"/>
              </w:rPr>
              <w:t>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функционирования отраслевого органа администрации города Магнитогорска, </w:t>
            </w:r>
            <w:r>
              <w:rPr>
                <w:rFonts w:ascii="Times New Roman" w:hAnsi="Times New Roman"/>
                <w:sz w:val="24"/>
              </w:rPr>
              <w:t>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</w:t>
            </w:r>
            <w:r>
              <w:rPr>
                <w:rFonts w:ascii="Times New Roman" w:hAnsi="Times New Roman"/>
                <w:sz w:val="24"/>
              </w:rPr>
              <w:t>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</w:tbl>
    <w:p w14:paraId="E4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5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4" w:name="P877"/>
      <w:bookmarkEnd w:id="4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481"/>
        <w:gridCol w:w="1596"/>
        <w:gridCol w:w="1596"/>
        <w:gridCol w:w="1596"/>
        <w:gridCol w:w="1535"/>
        <w:gridCol w:w="1547"/>
        <w:gridCol w:w="1535"/>
        <w:gridCol w:w="2196"/>
      </w:tblGrid>
      <w:tr>
        <w:tc>
          <w:tcPr>
            <w:tcW w:type="dxa" w:w="3481"/>
            <w:vMerge w:val="restart"/>
            <w:vAlign w:val="center"/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601"/>
            <w:gridSpan w:val="7"/>
            <w:vAlign w:val="center"/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81"/>
            <w:gridSpan w:val="1"/>
            <w:vMerge w:val="continue"/>
            <w:vAlign w:val="center"/>
          </w:tcPr>
          <w:p/>
        </w:tc>
        <w:tc>
          <w:tcPr>
            <w:tcW w:type="dxa" w:w="1596"/>
            <w:vAlign w:val="center"/>
          </w:tcPr>
          <w:p w14:paraId="E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96"/>
            <w:vAlign w:val="center"/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96"/>
            <w:vAlign w:val="center"/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35"/>
            <w:vAlign w:val="center"/>
          </w:tcPr>
          <w:p w14:paraId="E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47"/>
            <w:vAlign w:val="center"/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35"/>
            <w:vAlign w:val="center"/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96"/>
            <w:vAlign w:val="center"/>
          </w:tcPr>
          <w:p w14:paraId="E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81"/>
            <w:vAlign w:val="center"/>
          </w:tcPr>
          <w:p w14:paraId="E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96"/>
            <w:vAlign w:val="center"/>
          </w:tcPr>
          <w:p w14:paraId="F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96"/>
            <w:vAlign w:val="center"/>
          </w:tcPr>
          <w:p w14:paraId="F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96"/>
            <w:vAlign w:val="center"/>
          </w:tcPr>
          <w:p w14:paraId="F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35"/>
            <w:vAlign w:val="center"/>
          </w:tcPr>
          <w:p w14:paraId="F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47"/>
            <w:vAlign w:val="center"/>
          </w:tcPr>
          <w:p w14:paraId="F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35"/>
            <w:vAlign w:val="center"/>
          </w:tcPr>
          <w:p w14:paraId="F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96"/>
            <w:vAlign w:val="center"/>
          </w:tcPr>
          <w:p w14:paraId="F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285"/>
        </w:trPr>
        <w:tc>
          <w:tcPr>
            <w:tcW w:type="dxa" w:w="3481"/>
            <w:vAlign w:val="center"/>
          </w:tcPr>
          <w:p w14:paraId="F7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в т.ч.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10 246 432,71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10 154 180,66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10 058 801,66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9 277 582,12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9 564 845,48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9 879 840,45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59 181 683,08</w:t>
            </w:r>
          </w:p>
        </w:tc>
      </w:tr>
      <w:tr>
        <w:trPr>
          <w:trHeight w:hRule="atLeast" w:val="255"/>
        </w:trPr>
        <w:tc>
          <w:tcPr>
            <w:tcW w:type="dxa" w:w="3481"/>
            <w:vAlign w:val="center"/>
          </w:tcPr>
          <w:p w14:paraId="FF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468 611,20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441 619,31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404 825,14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1 315 055,65</w:t>
            </w:r>
          </w:p>
        </w:tc>
      </w:tr>
      <w:tr>
        <w:tc>
          <w:tcPr>
            <w:tcW w:type="dxa" w:w="3481"/>
            <w:vAlign w:val="center"/>
          </w:tcPr>
          <w:p w14:paraId="0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6 393 716,28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6 440 165,91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6 381 344,81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6 362 270,53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6 362 270,53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6 362 270,53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38 302 038,59</w:t>
            </w:r>
          </w:p>
        </w:tc>
      </w:tr>
      <w:tr>
        <w:tc>
          <w:tcPr>
            <w:tcW w:type="dxa" w:w="3481"/>
            <w:vAlign w:val="center"/>
          </w:tcPr>
          <w:p w14:paraId="0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3 384 105,23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3 272 395,43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3 272 631,71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2 915 311,58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3 202 574,95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3 517 569,92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19 564 588,82</w:t>
            </w:r>
          </w:p>
        </w:tc>
      </w:tr>
      <w:tr>
        <w:tc>
          <w:tcPr>
            <w:tcW w:type="dxa" w:w="3481"/>
            <w:vAlign w:val="center"/>
          </w:tcPr>
          <w:p w14:paraId="1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481"/>
            <w:vAlign w:val="center"/>
          </w:tcPr>
          <w:p w14:paraId="1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596"/>
            <w:vAlign w:val="center"/>
          </w:tcPr>
          <w:p w14:paraId="2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vAlign w:val="center"/>
          </w:tcPr>
          <w:p w14:paraId="2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vAlign w:val="center"/>
          </w:tcPr>
          <w:p w14:paraId="2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vAlign w:val="center"/>
          </w:tcPr>
          <w:p w14:paraId="2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47"/>
            <w:vAlign w:val="center"/>
          </w:tcPr>
          <w:p w14:paraId="2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vAlign w:val="center"/>
          </w:tcPr>
          <w:p w14:paraId="2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96"/>
            <w:vAlign w:val="center"/>
          </w:tcPr>
          <w:p w14:paraId="2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7020000">
      <w:pPr>
        <w:spacing w:after="0" w:line="240" w:lineRule="auto"/>
        <w:ind/>
        <w:rPr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Обычный1"/>
    <w:link w:val="Style_6_ch"/>
  </w:style>
  <w:style w:styleId="Style_6_ch" w:type="character">
    <w:name w:val="Обычный1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Знак примечания1"/>
    <w:basedOn w:val="Style_14"/>
    <w:link w:val="Style_13_ch"/>
    <w:rPr>
      <w:sz w:val="16"/>
    </w:rPr>
  </w:style>
  <w:style w:styleId="Style_13_ch" w:type="character">
    <w:name w:val="Знак примечания1"/>
    <w:basedOn w:val="Style_14_ch"/>
    <w:link w:val="Style_13"/>
    <w:rPr>
      <w:sz w:val="16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5" w:type="paragraph">
    <w:name w:val="toc 3"/>
    <w:next w:val="Style_5"/>
    <w:link w:val="Style_15_ch"/>
    <w:uiPriority w:val="39"/>
    <w:pPr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Гиперссылка2"/>
    <w:link w:val="Style_19_ch"/>
    <w:rPr>
      <w:color w:val="0000FF"/>
      <w:u w:val="single"/>
    </w:rPr>
  </w:style>
  <w:style w:styleId="Style_19_ch" w:type="character">
    <w:name w:val="Гиперссылка2"/>
    <w:link w:val="Style_19"/>
    <w:rPr>
      <w:color w:val="0000FF"/>
      <w:u w:val="single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footer"/>
    <w:basedOn w:val="Style_5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2_ch" w:type="character">
    <w:name w:val="footer"/>
    <w:basedOn w:val="Style_5_ch"/>
    <w:link w:val="Style_22"/>
  </w:style>
  <w:style w:styleId="Style_23" w:type="paragraph">
    <w:name w:val="toc 1"/>
    <w:next w:val="Style_5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26" w:type="paragraph">
    <w:name w:val="toc 9"/>
    <w:next w:val="Style_5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toc 8"/>
    <w:next w:val="Style_5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29" w:type="paragraph">
    <w:name w:val="annotation subject"/>
    <w:basedOn w:val="Style_30"/>
    <w:next w:val="Style_30"/>
    <w:link w:val="Style_29_ch"/>
    <w:rPr>
      <w:b w:val="1"/>
    </w:rPr>
  </w:style>
  <w:style w:styleId="Style_29_ch" w:type="character">
    <w:name w:val="annotation subject"/>
    <w:basedOn w:val="Style_30_ch"/>
    <w:link w:val="Style_29"/>
    <w:rPr>
      <w:b w:val="1"/>
    </w:rPr>
  </w:style>
  <w:style w:styleId="Style_31" w:type="paragraph">
    <w:name w:val="toc 5"/>
    <w:next w:val="Style_5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5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Обычный1"/>
    <w:link w:val="Style_33_ch"/>
  </w:style>
  <w:style w:styleId="Style_33_ch" w:type="character">
    <w:name w:val="Обычный1"/>
    <w:link w:val="Style_33"/>
  </w:style>
  <w:style w:styleId="Style_34" w:type="paragraph">
    <w:name w:val="Title"/>
    <w:next w:val="Style_5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5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Balloon Text"/>
    <w:basedOn w:val="Style_5"/>
    <w:link w:val="Style_36_ch"/>
    <w:pPr>
      <w:spacing w:after="0" w:line="240" w:lineRule="auto"/>
      <w:ind/>
    </w:pPr>
    <w:rPr>
      <w:rFonts w:ascii="Segoe UI" w:hAnsi="Segoe UI"/>
      <w:sz w:val="18"/>
    </w:rPr>
  </w:style>
  <w:style w:styleId="Style_36_ch" w:type="character">
    <w:name w:val="Balloon Text"/>
    <w:basedOn w:val="Style_5_ch"/>
    <w:link w:val="Style_36"/>
    <w:rPr>
      <w:rFonts w:ascii="Segoe UI" w:hAnsi="Segoe UI"/>
      <w:sz w:val="18"/>
    </w:rPr>
  </w:style>
  <w:style w:styleId="Style_37" w:type="paragraph">
    <w:name w:val="heading 2"/>
    <w:next w:val="Style_5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30" w:type="paragraph">
    <w:name w:val="annotation text"/>
    <w:basedOn w:val="Style_5"/>
    <w:link w:val="Style_30_ch"/>
    <w:pPr>
      <w:spacing w:line="240" w:lineRule="auto"/>
      <w:ind/>
    </w:pPr>
    <w:rPr>
      <w:sz w:val="20"/>
    </w:rPr>
  </w:style>
  <w:style w:styleId="Style_30_ch" w:type="character">
    <w:name w:val="annotation text"/>
    <w:basedOn w:val="Style_5_ch"/>
    <w:link w:val="Style_30"/>
    <w:rPr>
      <w:sz w:val="20"/>
    </w:r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2025-08-11T10:54:32Z</dcterms:modified>
</cp:coreProperties>
</file>