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6413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252"/>
        <w:outlineLvl w:val="0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.03.2019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2676-П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bookmarkStart w:id="1" w:name="sub_3"/>
      <w:r>
        <w:rPr>
          <w:rFonts w:ascii="Times New Roman" w:hAnsi="Times New Roman"/>
          <w:sz w:val="28"/>
        </w:rPr>
        <w:t>В соответствии с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Бюджетным 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"https://internet.garant.ru/#/document/400550516/entry/1000"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о бюджетном процессе в городе Магнитогорске, утвержденным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"https://internet.garant.ru/#/document/400550516/entry/0"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Магнитогорского городского Собрания депутатов от 30 марта 2021 года № 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"https://internet.garant.ru/#/document/8701737/entry/101"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города Магнитогорска, </w:t>
      </w:r>
    </w:p>
    <w:p w14:paraId="0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06.03.2019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2676-П «О мерах по обеспечению исполнения бюджета города Магнитогорска» (далее - постановление) изменение, подпункт 1 пункта 3 постановления изложить в следующей редакции: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размере до 100 процентов суммы договора (муниципального контракта), но не более доведенных лимитов бюджетных обязательств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br/>
      </w:r>
      <w:r>
        <w:rPr>
          <w:rFonts w:ascii="Times New Roman" w:hAnsi="Times New Roman"/>
          <w:sz w:val="28"/>
        </w:rPr>
        <w:t>по договорам (муниципальным контрактам) об оказании услуг связи,</w:t>
      </w:r>
      <w:r>
        <w:br/>
      </w:r>
      <w:r>
        <w:rPr>
          <w:rFonts w:ascii="Times New Roman" w:hAnsi="Times New Roman"/>
          <w:sz w:val="28"/>
        </w:rPr>
        <w:t>о почтовых отправлениях, о подписке на печатные (электронные) издания</w:t>
      </w:r>
      <w:r>
        <w:br/>
      </w:r>
      <w:r>
        <w:rPr>
          <w:rFonts w:ascii="Times New Roman" w:hAnsi="Times New Roman"/>
          <w:sz w:val="28"/>
        </w:rPr>
        <w:t>и об их приобретении, по договорам об оказании информационных услуг посредством интернет-сайтов в целях подбора персонала, о предоставлении доступа к электронной версии издания, о проживании в гостиницах в период командировок, о приобретении авиационных, железнодорожных и других билетов для проезда транспортом, о приобретении путевок на санаторно-курортное лечение, об обучении на курсах повышения квалификации</w:t>
      </w:r>
      <w:r>
        <w:br/>
      </w:r>
      <w:r>
        <w:rPr>
          <w:rFonts w:ascii="Times New Roman" w:hAnsi="Times New Roman"/>
          <w:sz w:val="28"/>
        </w:rPr>
        <w:t>и профессиональной переподготовки, по обеспечению документами Федеральной службы по техническому и экспортному контролю, на право использования полиграфического макета части цифрового плана из состава Городского Информационного Справочника «2ГИС» в электронной форме</w:t>
      </w:r>
      <w:r>
        <w:br/>
      </w:r>
      <w:r>
        <w:rPr>
          <w:rFonts w:ascii="Times New Roman" w:hAnsi="Times New Roman"/>
          <w:sz w:val="28"/>
        </w:rPr>
        <w:t>на условиях простой (неисключительной) лицензии,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взносах за участие</w:t>
      </w:r>
      <w:r>
        <w:br/>
      </w:r>
      <w:r>
        <w:rPr>
          <w:rFonts w:ascii="Times New Roman" w:hAnsi="Times New Roman"/>
          <w:sz w:val="28"/>
        </w:rPr>
        <w:t xml:space="preserve">в конференциях, семинарах, форумах и </w:t>
      </w:r>
      <w:r>
        <w:rPr>
          <w:rFonts w:ascii="Times New Roman" w:hAnsi="Times New Roman"/>
          <w:sz w:val="28"/>
        </w:rPr>
        <w:t>вебинарах</w:t>
      </w:r>
      <w:r>
        <w:rPr>
          <w:rFonts w:ascii="Times New Roman" w:hAnsi="Times New Roman"/>
          <w:sz w:val="28"/>
        </w:rPr>
        <w:t>, на оплату услуг</w:t>
      </w:r>
      <w:r>
        <w:br/>
      </w:r>
      <w:r>
        <w:rPr>
          <w:rFonts w:ascii="Times New Roman" w:hAnsi="Times New Roman"/>
          <w:sz w:val="28"/>
        </w:rPr>
        <w:t>по организации участия в мероприятиях, в том числе по организации питания участников мероприятий, о проведении государственной экспертизы проектной документации и (или) результатов инженерных изысканий,</w:t>
      </w:r>
      <w:r>
        <w:br/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проведении проверки достоверности определения сметной стоимости объектов капитального строительства, расходов по уплате государственной пошлины за совершение нотариальных действий, за государственную регистрацию и иные юридические действия, за государственный технический осмотр транспортных средств, по договорам (муниципальным контрактам) обязательного страхования жизни, здоровья, имущества и гражданской ответственности владельцев транспортных средств;».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Start w:id="2" w:name="sub_4"/>
      <w:bookmarkEnd w:id="1"/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опубликовать настоящее постановление в средствах массовой информации и разместить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5"/>
      <w:bookmarkEnd w:id="2"/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  <w:bookmarkEnd w:id="3"/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8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М.В. Москалев</w:t>
      </w: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Вр-2163733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2025-07-25T05:15:13Z</dcterms:modified>
</cp:coreProperties>
</file>