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от ____________ № ____________</w:t>
      </w:r>
    </w:p>
    <w:p w:rsidR="00BF4729" w:rsidRDefault="00BF4729">
      <w:pPr>
        <w:spacing w:after="0" w:line="240" w:lineRule="auto"/>
        <w:ind w:left="10772"/>
        <w:rPr>
          <w:rFonts w:ascii="Times New Roman" w:hAnsi="Times New Roman"/>
        </w:rPr>
      </w:pP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:rsidR="00BF4729" w:rsidRDefault="00F244E1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распоряжению муниципальным имуществом в городе </w:t>
      </w:r>
      <w:r>
        <w:rPr>
          <w:rFonts w:ascii="Times New Roman" w:hAnsi="Times New Roman"/>
        </w:rPr>
        <w:t>Магнитогорске» на 2025 – 2030 годы</w:t>
      </w:r>
    </w:p>
    <w:p w:rsidR="00BF4729" w:rsidRDefault="00BF4729">
      <w:pPr>
        <w:spacing w:after="0" w:line="240" w:lineRule="auto"/>
        <w:jc w:val="right"/>
        <w:rPr>
          <w:rFonts w:ascii="Times New Roman" w:hAnsi="Times New Roman"/>
          <w:sz w:val="16"/>
        </w:rPr>
      </w:pPr>
    </w:p>
    <w:p w:rsidR="00BF4729" w:rsidRDefault="00F244E1">
      <w:pPr>
        <w:spacing w:after="0" w:line="240" w:lineRule="auto"/>
        <w:jc w:val="center"/>
        <w:rPr>
          <w:rFonts w:ascii="Times New Roman" w:hAnsi="Times New Roman"/>
          <w:sz w:val="28"/>
        </w:rPr>
      </w:pPr>
      <w:bookmarkStart w:id="0" w:name="P491"/>
      <w:bookmarkEnd w:id="0"/>
      <w:r>
        <w:rPr>
          <w:rFonts w:ascii="Times New Roman" w:hAnsi="Times New Roman"/>
          <w:sz w:val="28"/>
        </w:rPr>
        <w:t>ПАСПОРТ</w:t>
      </w:r>
    </w:p>
    <w:p w:rsidR="00BF4729" w:rsidRDefault="00F244E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:rsidR="00BF4729" w:rsidRDefault="00F244E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</w:p>
    <w:p w:rsidR="00BF4729" w:rsidRDefault="00F244E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:rsidR="00BF4729" w:rsidRDefault="00F244E1">
      <w:pPr>
        <w:spacing w:after="0" w:line="240" w:lineRule="auto"/>
        <w:jc w:val="center"/>
        <w:rPr>
          <w:rFonts w:ascii="Times New Roman" w:hAnsi="Times New Roman"/>
          <w:strike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:rsidR="00BF4729" w:rsidRDefault="00BF4729">
      <w:pPr>
        <w:spacing w:after="0" w:line="240" w:lineRule="auto"/>
        <w:jc w:val="center"/>
        <w:rPr>
          <w:rFonts w:ascii="Times New Roman" w:hAnsi="Times New Roman"/>
          <w:strike/>
          <w:sz w:val="20"/>
        </w:rPr>
      </w:pPr>
    </w:p>
    <w:p w:rsidR="00BF4729" w:rsidRDefault="00F244E1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:rsidR="00BF4729" w:rsidRDefault="00BF4729">
      <w:pPr>
        <w:spacing w:after="0" w:line="240" w:lineRule="auto"/>
        <w:jc w:val="center"/>
        <w:outlineLvl w:val="1"/>
        <w:rPr>
          <w:rFonts w:ascii="Times New Roman" w:hAnsi="Times New Roman"/>
          <w:sz w:val="16"/>
        </w:rPr>
      </w:pPr>
    </w:p>
    <w:tbl>
      <w:tblPr>
        <w:tblW w:w="0" w:type="auto"/>
        <w:tblInd w:w="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4"/>
        <w:gridCol w:w="3033"/>
        <w:gridCol w:w="7515"/>
      </w:tblGrid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Куратор муниципальной </w:t>
            </w: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Соисполнители муниципальной </w:t>
            </w: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 w:rsidR="00BF4729">
        <w:trPr>
          <w:trHeight w:val="1466"/>
        </w:trPr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Цели/задачи муни</w:t>
            </w:r>
            <w:r>
              <w:rPr>
                <w:rFonts w:ascii="Times New Roman" w:hAnsi="Times New Roman"/>
                <w:sz w:val="28"/>
              </w:rPr>
              <w:t>ципальной программы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w="7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</w:t>
            </w:r>
            <w:r>
              <w:rPr>
                <w:rFonts w:ascii="Times New Roman" w:hAnsi="Times New Roman"/>
                <w:sz w:val="28"/>
              </w:rPr>
              <w:t>ользования муниципального имущества и земельных отношений.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4. Взносы в уставный капитал хозяйствующих субъектов.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5. Приобретение транспортных средств и специализированной техники</w:t>
            </w:r>
          </w:p>
          <w:p w:rsidR="00BF4729" w:rsidRDefault="00BF47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6. Проведение ремонтных работ нежилых объектов, находящихся в муниципальной собственности.</w:t>
            </w:r>
          </w:p>
        </w:tc>
      </w:tr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 w:rsidR="00BF4729"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 w:rsidP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984 416,72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  <w:tr w:rsidR="00BF4729">
        <w:trPr>
          <w:trHeight w:val="13"/>
        </w:trPr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10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:rsidR="00BF4729" w:rsidRDefault="00F244E1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:rsidR="00BF4729" w:rsidRDefault="00F244E1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bookmarkStart w:id="1" w:name="P530"/>
      <w:bookmarkEnd w:id="1"/>
      <w:r>
        <w:rPr>
          <w:rFonts w:ascii="Times New Roman" w:hAnsi="Times New Roman"/>
          <w:sz w:val="28"/>
        </w:rPr>
        <w:lastRenderedPageBreak/>
        <w:t>2. Показатели муниципальной программы</w:t>
      </w:r>
    </w:p>
    <w:p w:rsidR="00BF4729" w:rsidRDefault="00BF4729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</w:p>
    <w:tbl>
      <w:tblPr>
        <w:tblW w:w="0" w:type="auto"/>
        <w:tblInd w:w="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"/>
        <w:gridCol w:w="2774"/>
        <w:gridCol w:w="1200"/>
        <w:gridCol w:w="2644"/>
        <w:gridCol w:w="851"/>
        <w:gridCol w:w="850"/>
        <w:gridCol w:w="711"/>
        <w:gridCol w:w="707"/>
        <w:gridCol w:w="826"/>
        <w:gridCol w:w="850"/>
        <w:gridCol w:w="2228"/>
      </w:tblGrid>
      <w:tr w:rsidR="00BF4729"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w="2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Базовое значение за год, предшествующий году разработки проекта </w:t>
            </w: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w="4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 w:rsidR="00BF4729">
        <w:tc>
          <w:tcPr>
            <w:tcW w:w="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2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2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w="2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</w:tr>
      <w:tr w:rsidR="00BF4729">
        <w:trPr>
          <w:trHeight w:hRule="exact" w:val="283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BF4729">
        <w:tc>
          <w:tcPr>
            <w:tcW w:w="141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</w:t>
            </w:r>
            <w:r>
              <w:rPr>
                <w:rFonts w:ascii="Times New Roman" w:hAnsi="Times New Roman"/>
                <w:sz w:val="28"/>
              </w:rPr>
              <w:t>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:rsidR="00BF4729" w:rsidRDefault="00BF47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имущества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BF4729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  <w:sz w:val="28"/>
              </w:rPr>
              <w:lastRenderedPageBreak/>
              <w:t>города Магнитогорска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1.3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</w:t>
            </w:r>
            <w:r>
              <w:rPr>
                <w:rFonts w:ascii="Times New Roman" w:hAnsi="Times New Roman"/>
                <w:sz w:val="28"/>
              </w:rPr>
              <w:t>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</w:t>
            </w:r>
            <w:r>
              <w:rPr>
                <w:rFonts w:ascii="Times New Roman" w:hAnsi="Times New Roman"/>
                <w:sz w:val="28"/>
              </w:rPr>
              <w:t>земельными отношениями администрации города Магнитогорска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приобретаемых </w:t>
            </w:r>
            <w:r>
              <w:rPr>
                <w:rFonts w:ascii="Times New Roman" w:hAnsi="Times New Roman"/>
                <w:sz w:val="28"/>
              </w:rPr>
              <w:lastRenderedPageBreak/>
              <w:t>транспортных средств и специализированной техники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единиц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транспорта и </w:t>
            </w:r>
            <w:r>
              <w:rPr>
                <w:rFonts w:ascii="Times New Roman" w:hAnsi="Times New Roman"/>
                <w:sz w:val="28"/>
              </w:rPr>
              <w:lastRenderedPageBreak/>
              <w:t>коммунального хозяйства администрации города Магнитогорска</w:t>
            </w:r>
          </w:p>
        </w:tc>
      </w:tr>
      <w:tr w:rsidR="00BF4729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1.6</w:t>
            </w:r>
          </w:p>
        </w:tc>
        <w:tc>
          <w:tcPr>
            <w:tcW w:w="2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отремонтированных нежилых объектов, находящихся в </w:t>
            </w:r>
            <w:r>
              <w:rPr>
                <w:rFonts w:ascii="Times New Roman" w:hAnsi="Times New Roman"/>
                <w:sz w:val="28"/>
              </w:rPr>
              <w:t>муниципальной собственности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:rsidR="00BF4729" w:rsidRDefault="00BF4729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bookmarkStart w:id="2" w:name="P688"/>
      <w:bookmarkEnd w:id="2"/>
    </w:p>
    <w:p w:rsidR="00BF4729" w:rsidRDefault="00F244E1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:rsidR="00BF4729" w:rsidRDefault="00F244E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:rsidR="00BF4729" w:rsidRDefault="00BF472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 w:rsidR="00BF4729">
        <w:trPr>
          <w:jc w:val="center"/>
        </w:trPr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Единица </w:t>
            </w:r>
            <w:r>
              <w:rPr>
                <w:rFonts w:ascii="Times New Roman" w:hAnsi="Times New Roman"/>
                <w:sz w:val="28"/>
              </w:rPr>
              <w:t>измерения</w:t>
            </w:r>
          </w:p>
        </w:tc>
        <w:tc>
          <w:tcPr>
            <w:tcW w:w="83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 w:rsidR="00BF4729">
        <w:trPr>
          <w:jc w:val="center"/>
        </w:trPr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2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BF4729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проведенных торгов по муниципальному имуществу и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земельным участкам в процентах к общему количеству </w:t>
            </w:r>
            <w:r>
              <w:rPr>
                <w:rFonts w:ascii="Times New Roman" w:hAnsi="Times New Roman"/>
                <w:sz w:val="28"/>
              </w:rPr>
              <w:t>запланированных торгов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100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90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муниципальных зданий и помещений в процентах к общему количеству запланированных проверок для контроля за </w:t>
            </w:r>
            <w:r>
              <w:rPr>
                <w:rFonts w:ascii="Times New Roman" w:hAnsi="Times New Roman"/>
                <w:sz w:val="28"/>
              </w:rPr>
              <w:lastRenderedPageBreak/>
              <w:t>использованием муниципального имущества (за исключением земельных отношений)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100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100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</w:tr>
      <w:tr w:rsidR="00BF4729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отремонтированных нежилых объектов, </w:t>
            </w:r>
            <w:r>
              <w:rPr>
                <w:rFonts w:ascii="Times New Roman" w:hAnsi="Times New Roman"/>
                <w:sz w:val="28"/>
              </w:rPr>
              <w:t>находящихся в муниципальной собственности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</w:tr>
    </w:tbl>
    <w:p w:rsidR="00BF4729" w:rsidRDefault="00F244E1">
      <w:pPr>
        <w:spacing w:after="0" w:line="240" w:lineRule="auto"/>
        <w:jc w:val="center"/>
        <w:rPr>
          <w:rFonts w:ascii="Times New Roman" w:hAnsi="Times New Roman"/>
          <w:sz w:val="28"/>
        </w:rPr>
      </w:pPr>
      <w:bookmarkStart w:id="3" w:name="P804"/>
      <w:bookmarkEnd w:id="3"/>
      <w:r>
        <w:br w:type="page"/>
      </w:r>
      <w:r>
        <w:rPr>
          <w:rFonts w:ascii="PT Astra Serif" w:hAnsi="PT Astra Serif"/>
          <w:sz w:val="28"/>
        </w:rPr>
        <w:lastRenderedPageBreak/>
        <w:t>4.</w:t>
      </w:r>
      <w:r>
        <w:rPr>
          <w:rFonts w:ascii="Times New Roman" w:hAnsi="Times New Roman"/>
          <w:sz w:val="28"/>
        </w:rPr>
        <w:t xml:space="preserve">  Структура муниципальной программы</w:t>
      </w:r>
    </w:p>
    <w:p w:rsidR="00BF4729" w:rsidRDefault="00BF4729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8"/>
        <w:gridCol w:w="6944"/>
        <w:gridCol w:w="3858"/>
        <w:gridCol w:w="2913"/>
      </w:tblGrid>
      <w:tr w:rsidR="00BF4729">
        <w:trPr>
          <w:tblHeader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BF4729">
        <w:tc>
          <w:tcPr>
            <w:tcW w:w="145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 w:rsidR="00BF4729">
        <w:tc>
          <w:tcPr>
            <w:tcW w:w="145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 w:rsidR="00BF4729">
        <w:tc>
          <w:tcPr>
            <w:tcW w:w="7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реализацию: Комитет по управлению имуществом и земельными </w:t>
            </w:r>
            <w:r>
              <w:rPr>
                <w:rFonts w:ascii="Times New Roman" w:hAnsi="Times New Roman"/>
                <w:sz w:val="28"/>
              </w:rPr>
              <w:t>отношениями администрации города Магнитогорска</w:t>
            </w:r>
          </w:p>
        </w:tc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Повышение эффективности использования муниципального имущества и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земельными отношениями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1.1.2.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</w:t>
            </w:r>
            <w:r>
              <w:rPr>
                <w:rFonts w:ascii="Times New Roman" w:hAnsi="Times New Roman"/>
                <w:sz w:val="28"/>
              </w:rPr>
              <w:t>ений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lastRenderedPageBreak/>
              <w:t>имущества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1.1.3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3.  Регистрация права муниципальной собственности на </w:t>
            </w:r>
            <w:r>
              <w:rPr>
                <w:rFonts w:ascii="Times New Roman" w:hAnsi="Times New Roman"/>
                <w:sz w:val="28"/>
              </w:rPr>
              <w:t>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</w:t>
            </w:r>
            <w:r>
              <w:rPr>
                <w:rFonts w:ascii="Times New Roman" w:hAnsi="Times New Roman"/>
                <w:sz w:val="28"/>
              </w:rPr>
              <w:t>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  <w:tr w:rsidR="00BF4729">
        <w:trPr>
          <w:trHeight w:val="626"/>
        </w:trPr>
        <w:tc>
          <w:tcPr>
            <w:tcW w:w="145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pStyle w:val="af6"/>
              <w:widowControl w:val="0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 Комплекс процессных мероприятий «Увеличение уставного капитала хозяйствующих субъектов»</w:t>
            </w:r>
          </w:p>
        </w:tc>
      </w:tr>
      <w:tr w:rsidR="00BF4729">
        <w:tc>
          <w:tcPr>
            <w:tcW w:w="7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</w:t>
            </w:r>
            <w:r>
              <w:rPr>
                <w:rFonts w:ascii="Times New Roman" w:hAnsi="Times New Roman"/>
                <w:sz w:val="28"/>
              </w:rPr>
              <w:t>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 Взносы в уставный капитал хозяйствующих субъектов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</w:t>
            </w:r>
            <w:r>
              <w:rPr>
                <w:rFonts w:ascii="Times New Roman" w:hAnsi="Times New Roman"/>
                <w:sz w:val="28"/>
              </w:rPr>
              <w:lastRenderedPageBreak/>
              <w:t>увеличение уставного капитала хозяйствующих субъектов</w:t>
            </w:r>
          </w:p>
        </w:tc>
      </w:tr>
      <w:tr w:rsidR="00BF4729">
        <w:tc>
          <w:tcPr>
            <w:tcW w:w="145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ind w:left="36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lastRenderedPageBreak/>
              <w:t>1.3. Комплекс процессных мероприятий  «</w:t>
            </w:r>
            <w:r>
              <w:rPr>
                <w:rFonts w:ascii="Times New Roman" w:hAnsi="Times New Roman"/>
                <w:sz w:val="28"/>
              </w:rPr>
              <w:t>Приобретение транспортных средств и специализированной техники в муниципальную собственность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  <w:tr w:rsidR="00BF4729">
        <w:tc>
          <w:tcPr>
            <w:tcW w:w="7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1.3.1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Приобретение транспортных средств и специализированной техники 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приобретаемых </w:t>
            </w:r>
            <w:r>
              <w:rPr>
                <w:rFonts w:ascii="Times New Roman" w:hAnsi="Times New Roman"/>
                <w:sz w:val="28"/>
              </w:rPr>
              <w:t>транспортных средств и специализированной техники в муниципальную собственность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приобретенных транспортных средств и специализированной техники</w:t>
            </w:r>
          </w:p>
          <w:p w:rsidR="00BF4729" w:rsidRDefault="00BF472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F4729">
        <w:tc>
          <w:tcPr>
            <w:tcW w:w="145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1.4. Комплекс процессных мероприятий «Ремонт нежилых объектов, находящихся в муниципальной собственности </w:t>
            </w:r>
          </w:p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Магнитогорска»</w:t>
            </w:r>
          </w:p>
        </w:tc>
      </w:tr>
      <w:tr w:rsidR="00BF4729">
        <w:tc>
          <w:tcPr>
            <w:tcW w:w="7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w="6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</w:t>
            </w:r>
            <w:r>
              <w:rPr>
                <w:rFonts w:ascii="Times New Roman" w:hAnsi="Times New Roman"/>
                <w:sz w:val="28"/>
              </w:rPr>
              <w:t>: 2025 – 2030</w:t>
            </w:r>
          </w:p>
        </w:tc>
      </w:tr>
      <w:tr w:rsidR="00BF4729"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1.4.1</w:t>
            </w: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Проведение ремонтных работ нежилых </w:t>
            </w:r>
            <w:r>
              <w:rPr>
                <w:rFonts w:ascii="Times New Roman" w:hAnsi="Times New Roman"/>
                <w:sz w:val="28"/>
              </w:rPr>
              <w:lastRenderedPageBreak/>
              <w:t>объектов, находящихся в муниципальной собственности</w:t>
            </w:r>
          </w:p>
        </w:tc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729" w:rsidRDefault="00F244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lastRenderedPageBreak/>
              <w:t>отремонтированных нежилых объектов, находящихся в муниципальной собственности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4729" w:rsidRDefault="00F244E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отремонтированных нежилых объектов, находящихся в муниципальной собственности </w:t>
            </w:r>
          </w:p>
        </w:tc>
      </w:tr>
    </w:tbl>
    <w:p w:rsidR="00BF4729" w:rsidRDefault="00BF4729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BF4729" w:rsidRDefault="00F244E1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bookmarkStart w:id="4" w:name="P877"/>
      <w:bookmarkEnd w:id="4"/>
      <w:r>
        <w:br w:type="page"/>
      </w:r>
    </w:p>
    <w:p w:rsidR="00BF4729" w:rsidRDefault="00F244E1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5. Финансовое обеспечение муниципальной программы</w:t>
      </w:r>
    </w:p>
    <w:p w:rsidR="00BF4729" w:rsidRDefault="00BF47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aff0"/>
        <w:tblW w:w="15301" w:type="dxa"/>
        <w:tblLayout w:type="fixed"/>
        <w:tblLook w:val="04A0" w:firstRow="1" w:lastRow="0" w:firstColumn="1" w:lastColumn="0" w:noHBand="0" w:noVBand="1"/>
      </w:tblPr>
      <w:tblGrid>
        <w:gridCol w:w="3965"/>
        <w:gridCol w:w="1560"/>
        <w:gridCol w:w="1703"/>
        <w:gridCol w:w="1557"/>
        <w:gridCol w:w="1559"/>
        <w:gridCol w:w="1560"/>
        <w:gridCol w:w="1703"/>
        <w:gridCol w:w="1694"/>
      </w:tblGrid>
      <w:tr w:rsidR="00BF4729" w:rsidTr="00F244E1">
        <w:tc>
          <w:tcPr>
            <w:tcW w:w="3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w="113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 w:rsidR="00BF4729" w:rsidTr="00F244E1">
        <w:tc>
          <w:tcPr>
            <w:tcW w:w="39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BF4729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 w:rsidR="00BF4729" w:rsidTr="00F244E1">
        <w:trPr>
          <w:trHeight w:hRule="exact" w:val="283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Default="00F244E1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F244E1" w:rsidTr="00F244E1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 xml:space="preserve">Всего, в </w:t>
            </w:r>
            <w:proofErr w:type="spellStart"/>
            <w:r w:rsidRPr="00F244E1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F244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269 876,65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136 319,02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137 847,17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142 097,90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146 645,03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151 630,95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984 416,72</w:t>
            </w:r>
          </w:p>
        </w:tc>
      </w:tr>
      <w:tr w:rsidR="00BF4729" w:rsidTr="00F244E1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F4729" w:rsidTr="00F244E1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244E1" w:rsidTr="00F244E1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269 876,65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136 319,02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137 847,17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142 097,90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146 645,03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151 630,95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44E1" w:rsidRPr="00F244E1" w:rsidRDefault="00F244E1" w:rsidP="00F244E1">
            <w:pPr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984 416,72</w:t>
            </w:r>
          </w:p>
        </w:tc>
      </w:tr>
      <w:tr w:rsidR="00BF4729" w:rsidTr="00F244E1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 xml:space="preserve">Иные источники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F4729" w:rsidTr="00F244E1">
        <w:trPr>
          <w:trHeight w:val="313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29" w:rsidRPr="00F244E1" w:rsidRDefault="00F244E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4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BF4729" w:rsidRDefault="00BF4729">
      <w:pPr>
        <w:widowControl w:val="0"/>
        <w:spacing w:after="0" w:line="240" w:lineRule="auto"/>
        <w:jc w:val="center"/>
        <w:rPr>
          <w:rFonts w:ascii="Times New Roman" w:hAnsi="Times New Roman"/>
          <w:color w:val="C55A11"/>
          <w:sz w:val="28"/>
        </w:rPr>
      </w:pPr>
    </w:p>
    <w:p w:rsidR="00BF4729" w:rsidRDefault="00BF4729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5" w:name="P1382"/>
      <w:bookmarkStart w:id="6" w:name="_GoBack"/>
      <w:bookmarkEnd w:id="5"/>
      <w:bookmarkEnd w:id="6"/>
    </w:p>
    <w:sectPr w:rsidR="00BF4729">
      <w:pgSz w:w="16848" w:h="11908" w:orient="landscape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90FD3"/>
    <w:multiLevelType w:val="multilevel"/>
    <w:tmpl w:val="7D7A0EC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6F6C5D44"/>
    <w:multiLevelType w:val="multilevel"/>
    <w:tmpl w:val="93384716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29"/>
    <w:rsid w:val="00BF4729"/>
    <w:rsid w:val="00F2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5660"/>
  <w15:docId w15:val="{5FEAF1EC-00AC-46E2-9133-1B0C9DCB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Times New Roman CYR" w:hAnsi="Times New Roman CYR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</w:style>
  <w:style w:type="paragraph" w:styleId="21">
    <w:name w:val="toc 2"/>
    <w:next w:val="a"/>
    <w:link w:val="22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10">
    <w:name w:val="Заголовок 11"/>
    <w:link w:val="111"/>
    <w:rPr>
      <w:rFonts w:ascii="Times New Roman CYR" w:hAnsi="Times New Roman CYR"/>
      <w:b/>
      <w:color w:val="26282F"/>
      <w:sz w:val="24"/>
    </w:rPr>
  </w:style>
  <w:style w:type="character" w:customStyle="1" w:styleId="111">
    <w:name w:val="Заголовок 11"/>
    <w:link w:val="110"/>
    <w:rPr>
      <w:rFonts w:ascii="Times New Roman CYR" w:hAnsi="Times New Roman CYR"/>
      <w:b/>
      <w:color w:val="26282F"/>
      <w:sz w:val="24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51">
    <w:name w:val="Заголовок 51"/>
    <w:link w:val="510"/>
    <w:rPr>
      <w:rFonts w:ascii="XO Thames" w:hAnsi="XO Thames"/>
      <w:b/>
    </w:rPr>
  </w:style>
  <w:style w:type="character" w:customStyle="1" w:styleId="510">
    <w:name w:val="Заголовок 51"/>
    <w:link w:val="51"/>
    <w:rPr>
      <w:rFonts w:ascii="XO Thames" w:hAnsi="XO Thames"/>
      <w:b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210">
    <w:name w:val="Заголовок 21"/>
    <w:link w:val="211"/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styleId="7">
    <w:name w:val="toc 7"/>
    <w:next w:val="a"/>
    <w:link w:val="70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annotation text"/>
    <w:basedOn w:val="a"/>
    <w:link w:val="a4"/>
    <w:pPr>
      <w:spacing w:line="240" w:lineRule="auto"/>
    </w:pPr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customStyle="1" w:styleId="Internetlink">
    <w:name w:val="Internet link"/>
    <w:link w:val="Internetlink0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Endnote">
    <w:name w:val="Endnote"/>
    <w:link w:val="End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14">
    <w:name w:val="Выделение1"/>
    <w:basedOn w:val="15"/>
    <w:link w:val="16"/>
    <w:rPr>
      <w:i/>
    </w:rPr>
  </w:style>
  <w:style w:type="character" w:customStyle="1" w:styleId="16">
    <w:name w:val="Выделение1"/>
    <w:basedOn w:val="17"/>
    <w:link w:val="14"/>
    <w:rPr>
      <w:i/>
    </w:rPr>
  </w:style>
  <w:style w:type="paragraph" w:customStyle="1" w:styleId="410">
    <w:name w:val="Заголовок 41"/>
    <w:link w:val="411"/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customStyle="1" w:styleId="18">
    <w:name w:val="Подзаголовок1"/>
    <w:link w:val="19"/>
    <w:rPr>
      <w:rFonts w:ascii="XO Thames" w:hAnsi="XO Thames"/>
      <w:i/>
      <w:sz w:val="24"/>
    </w:rPr>
  </w:style>
  <w:style w:type="character" w:customStyle="1" w:styleId="19">
    <w:name w:val="Подзаголовок1"/>
    <w:link w:val="18"/>
    <w:rPr>
      <w:rFonts w:ascii="XO Thames" w:hAnsi="XO Thames"/>
      <w:i/>
      <w:sz w:val="24"/>
    </w:rPr>
  </w:style>
  <w:style w:type="paragraph" w:customStyle="1" w:styleId="1a">
    <w:name w:val="Строгий1"/>
    <w:basedOn w:val="15"/>
    <w:link w:val="1b"/>
    <w:rPr>
      <w:b/>
    </w:rPr>
  </w:style>
  <w:style w:type="character" w:customStyle="1" w:styleId="1b">
    <w:name w:val="Строгий1"/>
    <w:basedOn w:val="17"/>
    <w:link w:val="1a"/>
    <w:rPr>
      <w:b/>
    </w:rPr>
  </w:style>
  <w:style w:type="paragraph" w:customStyle="1" w:styleId="Standard">
    <w:name w:val="Standard"/>
    <w:link w:val="Standard0"/>
    <w:pPr>
      <w:widowControl w:val="0"/>
      <w:ind w:firstLine="720"/>
      <w:jc w:val="both"/>
    </w:pPr>
    <w:rPr>
      <w:rFonts w:ascii="Arial" w:hAnsi="Arial"/>
      <w:sz w:val="26"/>
    </w:rPr>
  </w:style>
  <w:style w:type="character" w:customStyle="1" w:styleId="Standard0">
    <w:name w:val="Standard"/>
    <w:link w:val="Standard"/>
    <w:rPr>
      <w:rFonts w:ascii="Arial" w:hAnsi="Arial"/>
      <w:sz w:val="26"/>
    </w:rPr>
  </w:style>
  <w:style w:type="paragraph" w:styleId="a7">
    <w:name w:val="Body Text"/>
    <w:basedOn w:val="a"/>
    <w:link w:val="a8"/>
    <w:pPr>
      <w:spacing w:after="140"/>
    </w:pPr>
  </w:style>
  <w:style w:type="character" w:customStyle="1" w:styleId="a8">
    <w:name w:val="Основной текст Знак"/>
    <w:basedOn w:val="1"/>
    <w:link w:val="a7"/>
  </w:style>
  <w:style w:type="paragraph" w:customStyle="1" w:styleId="4W4W4W4r4r4r4u4u4u4EEEfffrrrfffuuurrr111444444444444444444444444444444S4S4S4u4u441E1E1E4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4W4W4W4r4r4r4u4u4u4EEEfffrrrfffuuurrr111444444444444444444444444444444S4S4S4u4u441E1E1E40"/>
    <w:pPr>
      <w:spacing w:after="160" w:line="264" w:lineRule="auto"/>
    </w:pPr>
  </w:style>
  <w:style w:type="character" w:customStyle="1" w:styleId="4W4W4W4r4r4r4u4u4u4EEEfffrrrfffuuurrr111444444444444444444444444444444S4S4S4u4u441E1E1E40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4W4W4W4r4r4r4u4u4u4EEEfffrrrfffuuurrr111444444444444444444444444444444S4S4S4u4u441E1E1E4"/>
  </w:style>
  <w:style w:type="paragraph" w:customStyle="1" w:styleId="1c">
    <w:name w:val="Основной шрифт абзаца1"/>
    <w:link w:val="1d"/>
  </w:style>
  <w:style w:type="paragraph" w:customStyle="1" w:styleId="1d">
    <w:name w:val="Обычный1"/>
    <w:link w:val="1e"/>
    <w:pPr>
      <w:spacing w:after="160" w:line="264" w:lineRule="auto"/>
    </w:pPr>
  </w:style>
  <w:style w:type="character" w:customStyle="1" w:styleId="1e">
    <w:name w:val="Обычный1"/>
    <w:link w:val="1d"/>
  </w:style>
  <w:style w:type="paragraph" w:customStyle="1" w:styleId="a9">
    <w:name w:val="Содержимое таблицы"/>
    <w:basedOn w:val="a"/>
    <w:link w:val="aa"/>
    <w:pPr>
      <w:widowControl w:val="0"/>
    </w:pPr>
  </w:style>
  <w:style w:type="character" w:customStyle="1" w:styleId="aa">
    <w:name w:val="Содержимое таблицы"/>
    <w:basedOn w:val="1"/>
    <w:link w:val="a9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styleId="31">
    <w:name w:val="toc 3"/>
    <w:next w:val="a"/>
    <w:link w:val="32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1f">
    <w:name w:val="Обычный1"/>
    <w:link w:val="1f0"/>
  </w:style>
  <w:style w:type="character" w:customStyle="1" w:styleId="1f0">
    <w:name w:val="Обычный1"/>
    <w:link w:val="1f"/>
  </w:style>
  <w:style w:type="paragraph" w:customStyle="1" w:styleId="310">
    <w:name w:val="Заголовок 31"/>
    <w:link w:val="311"/>
    <w:rPr>
      <w:rFonts w:ascii="XO Thames" w:hAnsi="XO Thames"/>
      <w:b/>
      <w:sz w:val="26"/>
    </w:rPr>
  </w:style>
  <w:style w:type="character" w:customStyle="1" w:styleId="311">
    <w:name w:val="Заголовок 31"/>
    <w:link w:val="310"/>
    <w:rPr>
      <w:rFonts w:ascii="XO Thames" w:hAnsi="XO Thames"/>
      <w:b/>
      <w:sz w:val="26"/>
    </w:rPr>
  </w:style>
  <w:style w:type="paragraph" w:styleId="ab">
    <w:name w:val="caption"/>
    <w:basedOn w:val="a"/>
    <w:link w:val="ac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c">
    <w:name w:val="Название объекта Знак"/>
    <w:basedOn w:val="1"/>
    <w:link w:val="ab"/>
    <w:rPr>
      <w:rFonts w:ascii="PT Astra Serif" w:hAnsi="PT Astra Serif"/>
      <w:i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ad">
    <w:name w:val="Колонтитул"/>
    <w:link w:val="ae"/>
    <w:pPr>
      <w:spacing w:after="160"/>
      <w:jc w:val="both"/>
    </w:pPr>
    <w:rPr>
      <w:rFonts w:ascii="XO Thames" w:hAnsi="XO Thames"/>
      <w:sz w:val="28"/>
    </w:rPr>
  </w:style>
  <w:style w:type="character" w:customStyle="1" w:styleId="ae">
    <w:name w:val="Колонтитул"/>
    <w:link w:val="ad"/>
    <w:rPr>
      <w:rFonts w:ascii="XO Thames" w:hAnsi="XO Thames"/>
      <w:sz w:val="28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customStyle="1" w:styleId="af">
    <w:name w:val="Заголовок таблицы"/>
    <w:basedOn w:val="a9"/>
    <w:link w:val="af0"/>
    <w:pPr>
      <w:jc w:val="center"/>
    </w:pPr>
    <w:rPr>
      <w:b/>
    </w:rPr>
  </w:style>
  <w:style w:type="character" w:customStyle="1" w:styleId="af0">
    <w:name w:val="Заголовок таблицы"/>
    <w:basedOn w:val="aa"/>
    <w:link w:val="af"/>
    <w:rPr>
      <w:b/>
    </w:rPr>
  </w:style>
  <w:style w:type="paragraph" w:customStyle="1" w:styleId="1f1">
    <w:name w:val="Основной шрифт абзаца1"/>
    <w:link w:val="1f2"/>
  </w:style>
  <w:style w:type="character" w:customStyle="1" w:styleId="1f2">
    <w:name w:val="Основной шрифт абзаца1"/>
    <w:link w:val="1f1"/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f3">
    <w:name w:val="toc 1"/>
    <w:next w:val="a"/>
    <w:link w:val="1f4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Pr>
      <w:rFonts w:ascii="XO Thames" w:hAnsi="XO Thames"/>
      <w:b/>
      <w:sz w:val="28"/>
    </w:rPr>
  </w:style>
  <w:style w:type="paragraph" w:customStyle="1" w:styleId="24">
    <w:name w:val="Гиперссылка2"/>
    <w:link w:val="25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25">
    <w:name w:val="Гиперссылка2"/>
    <w:link w:val="24"/>
    <w:rPr>
      <w:rFonts w:ascii="Calibri" w:hAnsi="Calibri"/>
      <w:color w:val="0000FF"/>
      <w:u w:val="single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26">
    <w:name w:val="Основной шрифт абзаца2"/>
    <w:link w:val="27"/>
    <w:pPr>
      <w:spacing w:after="160" w:line="264" w:lineRule="auto"/>
    </w:pPr>
  </w:style>
  <w:style w:type="character" w:customStyle="1" w:styleId="27">
    <w:name w:val="Основной шрифт абзаца2"/>
    <w:link w:val="26"/>
  </w:style>
  <w:style w:type="paragraph" w:customStyle="1" w:styleId="15">
    <w:name w:val="Основной шрифт абзаца1"/>
    <w:link w:val="17"/>
    <w:pPr>
      <w:spacing w:after="160" w:line="264" w:lineRule="auto"/>
    </w:pPr>
  </w:style>
  <w:style w:type="character" w:customStyle="1" w:styleId="17">
    <w:name w:val="Основной шрифт абзаца1"/>
    <w:link w:val="15"/>
  </w:style>
  <w:style w:type="paragraph" w:customStyle="1" w:styleId="33">
    <w:name w:val="Основной шрифт абзаца3"/>
    <w:link w:val="34"/>
    <w:pPr>
      <w:spacing w:after="160" w:line="264" w:lineRule="auto"/>
    </w:pPr>
  </w:style>
  <w:style w:type="character" w:customStyle="1" w:styleId="34">
    <w:name w:val="Основной шрифт абзаца3"/>
    <w:link w:val="33"/>
  </w:style>
  <w:style w:type="paragraph" w:customStyle="1" w:styleId="1f5">
    <w:name w:val="Гиперссылка1"/>
    <w:link w:val="1f6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1f6">
    <w:name w:val="Гиперссылка1"/>
    <w:link w:val="1f5"/>
    <w:rPr>
      <w:rFonts w:ascii="Calibri" w:hAnsi="Calibri"/>
      <w:color w:val="0000FF"/>
      <w:u w:val="single"/>
    </w:rPr>
  </w:style>
  <w:style w:type="paragraph" w:styleId="9">
    <w:name w:val="toc 9"/>
    <w:next w:val="a"/>
    <w:link w:val="9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7">
    <w:name w:val="Заголовок1"/>
    <w:link w:val="1f8"/>
    <w:rPr>
      <w:rFonts w:ascii="XO Thames" w:hAnsi="XO Thames"/>
      <w:b/>
      <w:caps/>
      <w:sz w:val="40"/>
    </w:rPr>
  </w:style>
  <w:style w:type="character" w:customStyle="1" w:styleId="1f8">
    <w:name w:val="Заголовок1"/>
    <w:link w:val="1f7"/>
    <w:rPr>
      <w:rFonts w:ascii="XO Thames" w:hAnsi="XO Thames"/>
      <w:b/>
      <w:caps/>
      <w:sz w:val="4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af2">
    <w:name w:val="Normal (Web)"/>
    <w:basedOn w:val="a"/>
    <w:link w:val="af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веб) Знак"/>
    <w:basedOn w:val="1"/>
    <w:link w:val="af2"/>
    <w:rPr>
      <w:rFonts w:ascii="Times New Roman" w:hAnsi="Times New Roman"/>
      <w:sz w:val="24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List"/>
    <w:basedOn w:val="a7"/>
    <w:link w:val="af5"/>
    <w:rPr>
      <w:rFonts w:ascii="PT Astra Serif" w:hAnsi="PT Astra Serif"/>
    </w:rPr>
  </w:style>
  <w:style w:type="character" w:customStyle="1" w:styleId="af5">
    <w:name w:val="Список Знак"/>
    <w:basedOn w:val="a8"/>
    <w:link w:val="af4"/>
    <w:rPr>
      <w:rFonts w:ascii="PT Astra Serif" w:hAnsi="PT Astra Serif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b/>
    </w:rPr>
  </w:style>
  <w:style w:type="paragraph" w:styleId="52">
    <w:name w:val="toc 5"/>
    <w:next w:val="a"/>
    <w:link w:val="53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"/>
    <w:link w:val="af6"/>
  </w:style>
  <w:style w:type="paragraph" w:customStyle="1" w:styleId="28">
    <w:name w:val="Знак примечания2"/>
    <w:basedOn w:val="33"/>
    <w:link w:val="29"/>
    <w:rPr>
      <w:sz w:val="16"/>
    </w:rPr>
  </w:style>
  <w:style w:type="character" w:customStyle="1" w:styleId="29">
    <w:name w:val="Знак примечания2"/>
    <w:basedOn w:val="34"/>
    <w:link w:val="28"/>
    <w:rPr>
      <w:sz w:val="16"/>
    </w:rPr>
  </w:style>
  <w:style w:type="paragraph" w:styleId="af8">
    <w:name w:val="index heading"/>
    <w:basedOn w:val="a"/>
    <w:link w:val="af9"/>
    <w:rPr>
      <w:rFonts w:ascii="PT Astra Serif" w:hAnsi="PT Astra Serif"/>
    </w:rPr>
  </w:style>
  <w:style w:type="character" w:customStyle="1" w:styleId="af9">
    <w:name w:val="Указатель Знак"/>
    <w:basedOn w:val="1"/>
    <w:link w:val="af8"/>
    <w:rPr>
      <w:rFonts w:ascii="PT Astra Serif" w:hAnsi="PT Astra Serif"/>
    </w:rPr>
  </w:style>
  <w:style w:type="paragraph" w:styleId="afa">
    <w:name w:val="Subtitle"/>
    <w:next w:val="a"/>
    <w:link w:val="afb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7"/>
    <w:link w:val="afd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Заголовок Знак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9">
    <w:name w:val="Знак примечания1"/>
    <w:basedOn w:val="15"/>
    <w:link w:val="1fa"/>
    <w:rPr>
      <w:sz w:val="16"/>
    </w:rPr>
  </w:style>
  <w:style w:type="character" w:customStyle="1" w:styleId="1fa">
    <w:name w:val="Знак примечания1"/>
    <w:basedOn w:val="17"/>
    <w:link w:val="1f9"/>
    <w:rPr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e">
    <w:name w:val="annotation subject"/>
    <w:basedOn w:val="a3"/>
    <w:next w:val="a3"/>
    <w:link w:val="aff"/>
    <w:rPr>
      <w:b/>
    </w:rPr>
  </w:style>
  <w:style w:type="character" w:customStyle="1" w:styleId="aff">
    <w:name w:val="Тема примечания Знак"/>
    <w:basedOn w:val="a4"/>
    <w:link w:val="afe"/>
    <w:rPr>
      <w:b/>
      <w:sz w:val="20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1303</Words>
  <Characters>7428</Characters>
  <Application>Microsoft Office Word</Application>
  <DocSecurity>0</DocSecurity>
  <Lines>61</Lines>
  <Paragraphs>17</Paragraphs>
  <ScaleCrop>false</ScaleCrop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Горбунова Мария Михайловна</cp:lastModifiedBy>
  <cp:revision>2</cp:revision>
  <dcterms:created xsi:type="dcterms:W3CDTF">2025-06-26T05:12:00Z</dcterms:created>
  <dcterms:modified xsi:type="dcterms:W3CDTF">2025-06-26T05:14:00Z</dcterms:modified>
</cp:coreProperties>
</file>