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C000000">
      <w:pPr>
        <w:rPr>
          <w:spacing w:val="-4"/>
          <w:sz w:val="28"/>
        </w:rPr>
      </w:pPr>
    </w:p>
    <w:p w14:paraId="0D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24.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5446</w:t>
      </w:r>
      <w:r>
        <w:rPr>
          <w:spacing w:val="-4"/>
          <w:sz w:val="28"/>
        </w:rPr>
        <w:t>-П</w:t>
      </w:r>
    </w:p>
    <w:p w14:paraId="0E000000">
      <w:pPr>
        <w:spacing w:after="0" w:line="240" w:lineRule="auto"/>
        <w:ind w:right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постановке на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учет в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регистрирующий орган бесхозяйных сооружений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tabs>
          <w:tab w:leader="none" w:pos="963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06.10.2003 №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 xml:space="preserve">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highlight w:val="white"/>
        </w:rPr>
        <w:t xml:space="preserve">приказом Федеральной службы </w:t>
      </w:r>
      <w:r>
        <w:rPr>
          <w:rFonts w:ascii="Times New Roman" w:hAnsi="Times New Roman"/>
          <w:sz w:val="28"/>
          <w:highlight w:val="white"/>
        </w:rPr>
        <w:t>государственной регистрации, кадастра и картографии от 15 марта 2023 года П/0086 «</w:t>
      </w:r>
      <w:r>
        <w:rPr>
          <w:rFonts w:ascii="Times New Roman" w:hAnsi="Times New Roman"/>
          <w:sz w:val="28"/>
        </w:rPr>
        <w:t>Об установлении Порядка принятия на учет бесхозяйных недвижимых вещей», Положением</w:t>
      </w:r>
      <w:r>
        <w:br/>
      </w:r>
      <w:r>
        <w:rPr>
          <w:rFonts w:ascii="Times New Roman" w:hAnsi="Times New Roman"/>
          <w:sz w:val="28"/>
        </w:rPr>
        <w:t>о порядке владения, пользования и распоряжения имуществом, находящимся в муниципальной собс</w:t>
      </w:r>
      <w:r>
        <w:rPr>
          <w:rFonts w:ascii="Times New Roman" w:hAnsi="Times New Roman"/>
          <w:sz w:val="28"/>
        </w:rPr>
        <w:t xml:space="preserve">твенности города Магнитогорска, утвержденным Решением Магнитогорского городского Собрания депутатов </w:t>
      </w:r>
      <w:r>
        <w:rPr>
          <w:rFonts w:ascii="Times New Roman" w:hAnsi="Times New Roman"/>
          <w:sz w:val="28"/>
        </w:rPr>
        <w:t>от 24 декабря 2019 года №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 xml:space="preserve">170, руководствуясь Уставом города Магнитогорска, </w:t>
      </w:r>
    </w:p>
    <w:p w14:paraId="11000000">
      <w:pPr>
        <w:tabs>
          <w:tab w:leader="none" w:pos="963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tabs>
          <w:tab w:leader="none" w:pos="963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3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Комитету по управлению имуществом и земельными отношениями ад</w:t>
      </w:r>
      <w:r>
        <w:rPr>
          <w:rFonts w:ascii="Times New Roman" w:hAnsi="Times New Roman"/>
          <w:sz w:val="28"/>
        </w:rPr>
        <w:t>министрации города Магнитогорска (Верховодова Е.Г.):</w:t>
      </w:r>
    </w:p>
    <w:p w14:paraId="14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осуществить постановку на учет в Управлении Федеральной службы государственной регистрации, кадастра и картографии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Челябинской области бесхозяйных сооружений</w:t>
      </w:r>
      <w:r>
        <w:t xml:space="preserve"> </w:t>
      </w:r>
      <w:r>
        <w:rPr>
          <w:rFonts w:ascii="Times New Roman" w:hAnsi="Times New Roman"/>
          <w:sz w:val="28"/>
        </w:rPr>
        <w:t xml:space="preserve">согласно перечню, указанному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приложен</w:t>
      </w:r>
      <w:r>
        <w:rPr>
          <w:rFonts w:ascii="Times New Roman" w:hAnsi="Times New Roman"/>
          <w:sz w:val="28"/>
        </w:rPr>
        <w:t xml:space="preserve">ии к настоящему постановлению; </w:t>
      </w:r>
    </w:p>
    <w:p w14:paraId="15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поставить на учет в муниципальную казну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на бухгалтерский учет муниципальной казны администрации города Магнитогорска бесхозяйные сооружения согласно перечню, указанному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приложении к настоящему п</w:t>
      </w:r>
      <w:r>
        <w:rPr>
          <w:rFonts w:ascii="Times New Roman" w:hAnsi="Times New Roman"/>
          <w:sz w:val="28"/>
        </w:rPr>
        <w:t>остановлению.</w:t>
      </w:r>
    </w:p>
    <w:p w14:paraId="16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Правовому управлению администрации города Магнитогорска (Куликова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А.В.) по истечении трех месяцев со дня принятия на бесхозяйный учет Управлением Федеральной службы государственной регистрации, кадастра и картографии по Челябинской области</w:t>
      </w:r>
      <w:r>
        <w:rPr>
          <w:rFonts w:ascii="Times New Roman" w:hAnsi="Times New Roman"/>
          <w:sz w:val="28"/>
        </w:rPr>
        <w:t xml:space="preserve"> подготовить в месячный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срок заявления в суд о признании права муниципальной собственности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бесхозяйные сооружения согласно перечню, указанному в приложении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настоящему постановлению.</w:t>
      </w:r>
    </w:p>
    <w:p w14:paraId="17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МП трест «Теплофикация» (Агафонов В.В.)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принять на временное </w:t>
      </w:r>
      <w:r>
        <w:rPr>
          <w:rFonts w:ascii="Times New Roman" w:hAnsi="Times New Roman"/>
          <w:sz w:val="28"/>
        </w:rPr>
        <w:t xml:space="preserve">содержание и техническое обслуживание бесхозяйные сооружения, до момента регистрации права муниципальной собственности в регистрирующем </w:t>
      </w:r>
      <w:r>
        <w:rPr>
          <w:rFonts w:ascii="Times New Roman" w:hAnsi="Times New Roman"/>
          <w:sz w:val="28"/>
        </w:rPr>
        <w:t>органе, согласно перечню, указанному в приложении к настоящему постановлению.</w:t>
      </w:r>
    </w:p>
    <w:p w14:paraId="18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</w:t>
      </w:r>
      <w:r>
        <w:rPr>
          <w:rFonts w:ascii="Times New Roman" w:hAnsi="Times New Roman"/>
          <w:sz w:val="28"/>
        </w:rPr>
        <w:t xml:space="preserve">тики администрации </w:t>
      </w:r>
      <w:r>
        <w:rPr>
          <w:rFonts w:ascii="Times New Roman" w:hAnsi="Times New Roman"/>
          <w:spacing w:val="-4"/>
          <w:sz w:val="28"/>
        </w:rPr>
        <w:t>города Магнитогорска (</w:t>
      </w:r>
      <w:r>
        <w:rPr>
          <w:rFonts w:ascii="Times New Roman" w:hAnsi="Times New Roman"/>
          <w:spacing w:val="-4"/>
          <w:sz w:val="28"/>
        </w:rPr>
        <w:t>Аникина О.А.</w:t>
      </w:r>
      <w:r>
        <w:rPr>
          <w:rFonts w:ascii="Times New Roman" w:hAnsi="Times New Roman"/>
          <w:spacing w:val="-4"/>
          <w:sz w:val="28"/>
        </w:rPr>
        <w:t>) опубликовать настоящее постановление.</w:t>
      </w:r>
    </w:p>
    <w:p w14:paraId="19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Хабибуллину Д.Х.</w:t>
      </w:r>
    </w:p>
    <w:p w14:paraId="1A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</w:t>
      </w:r>
      <w:r>
        <w:rPr>
          <w:rFonts w:ascii="Times New Roman" w:hAnsi="Times New Roman"/>
          <w:sz w:val="28"/>
        </w:rPr>
        <w:t xml:space="preserve">                                        С.Н. Бердников</w:t>
      </w:r>
    </w:p>
    <w:p w14:paraId="1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rPr>
          <w:rFonts w:ascii="Times New Roman" w:hAnsi="Times New Roman"/>
          <w:sz w:val="28"/>
        </w:rPr>
      </w:pPr>
      <w:bookmarkStart w:id="1" w:name="_GoBack"/>
      <w:bookmarkEnd w:id="1"/>
    </w:p>
    <w:p w14:paraId="3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D000000">
      <w:pPr>
        <w:sectPr>
          <w:headerReference r:id="rId4" w:type="default"/>
          <w:footerReference r:id="rId3" w:type="first"/>
          <w:pgSz w:h="16838" w:orient="portrait" w:w="11906"/>
          <w:pgMar w:bottom="1134" w:footer="709" w:gutter="0" w:header="709" w:left="1701" w:right="850" w:top="1134"/>
          <w:titlePg/>
        </w:sectPr>
      </w:pPr>
    </w:p>
    <w:p w14:paraId="3E000000">
      <w:pPr>
        <w:spacing w:after="0" w:line="240" w:lineRule="auto"/>
        <w:ind w:firstLine="10772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3F000000">
      <w:pPr>
        <w:spacing w:after="0" w:line="240" w:lineRule="auto"/>
        <w:ind w:firstLine="10772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40000000">
      <w:pPr>
        <w:spacing w:after="0" w:line="240" w:lineRule="auto"/>
        <w:ind w:firstLine="10772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41000000">
      <w:pPr>
        <w:spacing w:after="0" w:line="240" w:lineRule="auto"/>
        <w:ind w:firstLine="10772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24.06.2025 № 5446-П</w:t>
      </w:r>
    </w:p>
    <w:p w14:paraId="4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бесхозяйных сооружений</w:t>
      </w:r>
    </w:p>
    <w:p w14:paraId="4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18"/>
        <w:tblLayout w:type="fixed"/>
      </w:tblPr>
      <w:tblGrid>
        <w:gridCol w:w="682"/>
        <w:gridCol w:w="1827"/>
        <w:gridCol w:w="3723"/>
        <w:gridCol w:w="1691"/>
        <w:gridCol w:w="1309"/>
        <w:gridCol w:w="5310"/>
      </w:tblGrid>
      <w:tr>
        <w:trPr>
          <w:trHeight w:hRule="atLeast" w:val="706"/>
        </w:trPr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00000">
            <w:pPr>
              <w:widowControl w:val="0"/>
              <w:spacing w:after="0" w:line="240" w:lineRule="auto"/>
              <w:ind w:firstLine="0" w:left="-110"/>
              <w:jc w:val="center"/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48000000">
            <w:pPr>
              <w:widowControl w:val="0"/>
              <w:spacing w:after="0" w:line="240" w:lineRule="auto"/>
              <w:ind w:firstLine="0" w:left="-110"/>
              <w:jc w:val="center"/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00000">
            <w:pPr>
              <w:widowControl w:val="0"/>
              <w:spacing w:after="0" w:line="240" w:lineRule="auto"/>
              <w:ind w:firstLine="0" w:left="-110"/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3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00000">
            <w:pPr>
              <w:widowControl w:val="0"/>
              <w:spacing w:after="0" w:line="240" w:lineRule="auto"/>
              <w:ind w:firstLine="0" w:left="-110"/>
              <w:jc w:val="center"/>
            </w:pPr>
            <w:r>
              <w:rPr>
                <w:rFonts w:ascii="Times New Roman" w:hAnsi="Times New Roman"/>
                <w:sz w:val="24"/>
              </w:rPr>
              <w:t>Местоположение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00000">
            <w:pPr>
              <w:widowControl w:val="0"/>
              <w:spacing w:after="0" w:line="240" w:lineRule="auto"/>
              <w:ind w:firstLine="0" w:left="-110" w:right="-112"/>
              <w:jc w:val="center"/>
            </w:pPr>
            <w:r>
              <w:rPr>
                <w:rFonts w:ascii="Times New Roman" w:hAnsi="Times New Roman"/>
                <w:sz w:val="24"/>
              </w:rPr>
              <w:t>Протяженность,</w:t>
            </w:r>
          </w:p>
          <w:p w14:paraId="4C000000">
            <w:pPr>
              <w:widowControl w:val="0"/>
              <w:spacing w:after="0" w:line="240" w:lineRule="auto"/>
              <w:ind w:firstLine="0" w:left="-110"/>
              <w:jc w:val="center"/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00000">
            <w:pPr>
              <w:widowControl w:val="0"/>
              <w:spacing w:after="0" w:line="240" w:lineRule="auto"/>
              <w:ind w:firstLine="0" w:left="-110"/>
              <w:jc w:val="center"/>
            </w:pPr>
            <w:r>
              <w:rPr>
                <w:rFonts w:ascii="Times New Roman" w:hAnsi="Times New Roman"/>
                <w:sz w:val="24"/>
              </w:rPr>
              <w:t>Стоимость, руб.</w:t>
            </w:r>
          </w:p>
        </w:tc>
        <w:tc>
          <w:tcPr>
            <w:tcW w:type="dxa" w:w="53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00000">
            <w:pPr>
              <w:widowControl w:val="0"/>
              <w:spacing w:after="0" w:line="240" w:lineRule="auto"/>
              <w:ind w:firstLine="0" w:left="-110"/>
              <w:jc w:val="center"/>
            </w:pPr>
            <w:r>
              <w:rPr>
                <w:rFonts w:ascii="Times New Roman" w:hAnsi="Times New Roman"/>
                <w:sz w:val="24"/>
              </w:rPr>
              <w:t>Основание</w:t>
            </w:r>
          </w:p>
        </w:tc>
      </w:tr>
      <w:tr>
        <w:trPr>
          <w:trHeight w:hRule="atLeast" w:val="1217"/>
        </w:trPr>
        <w:tc>
          <w:tcPr>
            <w:tcW w:type="dxa" w:w="682"/>
            <w:tcBorders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00000">
            <w:pPr>
              <w:widowControl w:val="0"/>
              <w:ind/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</w:t>
            </w:r>
          </w:p>
        </w:tc>
        <w:tc>
          <w:tcPr>
            <w:tcW w:type="dxa" w:w="1827"/>
            <w:tcBorders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00000">
            <w:pPr>
              <w:pStyle w:val="Style_4"/>
              <w:widowControl w:val="0"/>
              <w:tabs>
                <w:tab w:leader="none" w:pos="851" w:val="left"/>
              </w:tabs>
              <w:ind w:firstLine="0" w:left="0"/>
              <w:jc w:val="center"/>
              <w:rPr>
                <w:sz w:val="22"/>
              </w:rPr>
            </w:pPr>
            <w:r>
              <w:rPr>
                <w:rFonts w:ascii="Tinos" w:hAnsi="Tinos"/>
                <w:color w:val="000000"/>
                <w:spacing w:val="-2"/>
                <w:sz w:val="22"/>
              </w:rPr>
              <w:t xml:space="preserve"> Тепловая сеть от ТК-138-1 до  жилого дома   по пр. Ленина, д. 143</w:t>
            </w:r>
          </w:p>
        </w:tc>
        <w:tc>
          <w:tcPr>
            <w:tcW w:type="dxa" w:w="3723"/>
            <w:tcBorders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00000">
            <w:pPr>
              <w:widowControl w:val="0"/>
              <w:ind/>
            </w:pPr>
            <w:r>
              <w:rPr>
                <w:rFonts w:ascii="Tinos" w:hAnsi="Tinos"/>
                <w:color w:val="000000"/>
                <w:spacing w:val="-2"/>
                <w:sz w:val="24"/>
              </w:rPr>
              <w:t>г. Магнитогорск, 138 микрорайон</w:t>
            </w:r>
          </w:p>
        </w:tc>
        <w:tc>
          <w:tcPr>
            <w:tcW w:type="dxa" w:w="1691"/>
            <w:tcBorders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00000">
            <w:pPr>
              <w:widowControl w:val="0"/>
              <w:spacing w:after="0" w:line="240" w:lineRule="auto"/>
              <w:ind/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color w:val="000000"/>
                <w:sz w:val="24"/>
              </w:rPr>
              <w:t>10</w:t>
            </w:r>
          </w:p>
        </w:tc>
        <w:tc>
          <w:tcPr>
            <w:tcW w:type="dxa" w:w="1309"/>
            <w:tcBorders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00000">
            <w:pPr>
              <w:widowControl w:val="0"/>
              <w:ind/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1,00</w:t>
            </w:r>
          </w:p>
        </w:tc>
        <w:tc>
          <w:tcPr>
            <w:tcW w:type="dxa" w:w="5310"/>
            <w:vMerge w:val="restart"/>
            <w:tcBorders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00000">
            <w:pPr>
              <w:widowControl w:val="0"/>
              <w:spacing w:after="0"/>
              <w:ind w:firstLine="0" w:left="-108"/>
              <w:contextualSpacing w:val="1"/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 xml:space="preserve">Заявление МП трест «Теплофикация» </w:t>
            </w:r>
            <w:r>
              <w:rPr>
                <w:rFonts w:ascii="Tinos" w:hAnsi="Tinos"/>
                <w:sz w:val="24"/>
              </w:rPr>
              <w:t>от 06.05.2025 № 3675-ПТО (</w:t>
            </w:r>
            <w:r>
              <w:rPr>
                <w:rFonts w:ascii="Tinos" w:hAnsi="Tinos"/>
                <w:color w:val="222222"/>
                <w:sz w:val="24"/>
                <w:highlight w:val="white"/>
              </w:rPr>
              <w:t>КУИиЗО-01/3033 от 07.05.2025</w:t>
            </w:r>
            <w:r>
              <w:rPr>
                <w:rFonts w:ascii="Tinos" w:hAnsi="Tinos"/>
                <w:sz w:val="24"/>
              </w:rPr>
              <w:t xml:space="preserve">), Протокол от 11.06.2025 № КУИиЗО-05/106, Протокол от 18.06.2025 № </w:t>
            </w:r>
            <w:r>
              <w:rPr>
                <w:rFonts w:ascii="Tinos" w:hAnsi="Tinos"/>
                <w:color w:val="222222"/>
                <w:sz w:val="24"/>
              </w:rPr>
              <w:t>КУИиЗО 05/108</w:t>
            </w:r>
          </w:p>
        </w:tc>
      </w:tr>
      <w:tr>
        <w:trPr>
          <w:trHeight w:hRule="atLeast" w:val="1077"/>
        </w:trPr>
        <w:tc>
          <w:tcPr>
            <w:tcW w:type="dxa" w:w="682"/>
            <w:tcBorders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00000">
            <w:pPr>
              <w:widowControl w:val="0"/>
              <w:ind/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2</w:t>
            </w:r>
          </w:p>
        </w:tc>
        <w:tc>
          <w:tcPr>
            <w:tcW w:type="dxa" w:w="1827"/>
            <w:tcBorders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00000">
            <w:pPr>
              <w:pStyle w:val="Style_4"/>
              <w:widowControl w:val="0"/>
              <w:tabs>
                <w:tab w:leader="none" w:pos="851" w:val="left"/>
              </w:tabs>
              <w:ind w:firstLine="0" w:left="0"/>
              <w:jc w:val="center"/>
              <w:rPr>
                <w:sz w:val="22"/>
              </w:rPr>
            </w:pPr>
            <w:r>
              <w:rPr>
                <w:rFonts w:ascii="Tinos" w:hAnsi="Tinos"/>
                <w:color w:val="000000"/>
                <w:spacing w:val="-2"/>
                <w:sz w:val="22"/>
              </w:rPr>
              <w:t>Тепловая сеть от ТК-139-63-1 до жилого дома по ул. Ворошилова, д. 41</w:t>
            </w:r>
          </w:p>
        </w:tc>
        <w:tc>
          <w:tcPr>
            <w:tcW w:type="dxa" w:w="3723"/>
            <w:tcBorders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00000">
            <w:pPr>
              <w:widowControl w:val="0"/>
              <w:ind/>
            </w:pPr>
            <w:r>
              <w:rPr>
                <w:rFonts w:ascii="Tinos" w:hAnsi="Tinos"/>
                <w:color w:val="000000"/>
                <w:spacing w:val="-2"/>
                <w:sz w:val="24"/>
              </w:rPr>
              <w:t xml:space="preserve">г. Магнитогорск, </w:t>
            </w:r>
            <w:r>
              <w:rPr>
                <w:rFonts w:ascii="Tinos" w:hAnsi="Tinos"/>
                <w:color w:val="000000"/>
                <w:spacing w:val="-2"/>
                <w:sz w:val="24"/>
              </w:rPr>
              <w:t>139 микрорайон</w:t>
            </w:r>
          </w:p>
        </w:tc>
        <w:tc>
          <w:tcPr>
            <w:tcW w:type="dxa" w:w="1691"/>
            <w:tcBorders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00000">
            <w:pPr>
              <w:widowControl w:val="0"/>
              <w:spacing w:after="0" w:line="240" w:lineRule="auto"/>
              <w:ind/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color w:val="000000"/>
                <w:sz w:val="24"/>
              </w:rPr>
              <w:t>22</w:t>
            </w:r>
          </w:p>
        </w:tc>
        <w:tc>
          <w:tcPr>
            <w:tcW w:type="dxa" w:w="1309"/>
            <w:tcBorders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00000">
            <w:pPr>
              <w:widowControl w:val="0"/>
              <w:ind/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1,00</w:t>
            </w:r>
          </w:p>
        </w:tc>
        <w:tc>
          <w:tcPr>
            <w:tcW w:type="dxa" w:w="5310"/>
            <w:gridSpan w:val="1"/>
            <w:vMerge w:val="continue"/>
            <w:tcBorders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</w:tbl>
    <w:p w14:paraId="5A000000">
      <w:pPr>
        <w:rPr>
          <w:rFonts w:ascii="Times New Roman" w:hAnsi="Times New Roman"/>
          <w:sz w:val="28"/>
        </w:rPr>
      </w:pPr>
    </w:p>
    <w:sectPr>
      <w:headerReference r:id="rId5" w:type="default"/>
      <w:headerReference r:id="rId1" w:type="first"/>
      <w:footerReference r:id="rId6" w:type="default"/>
      <w:footerReference r:id="rId2" w:type="first"/>
      <w:pgSz w:h="11906" w:orient="landscape" w:w="16838"/>
      <w:pgMar w:bottom="851" w:footer="709" w:gutter="0" w:header="709" w:left="1134" w:right="1134" w:top="170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</w:t>
    </w:r>
    <w:r>
      <w:rPr>
        <w:rFonts w:ascii="Times New Roman" w:hAnsi="Times New Roman"/>
        <w:color w:val="222222"/>
        <w:sz w:val="24"/>
      </w:rPr>
      <w:t>2147801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</w:t>
    </w:r>
    <w:r>
      <w:rPr>
        <w:rFonts w:ascii="Times New Roman" w:hAnsi="Times New Roman"/>
        <w:color w:val="222222"/>
        <w:sz w:val="24"/>
      </w:rPr>
      <w:t>2147801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5000000">
    <w:pPr>
      <w:pStyle w:val="Style_2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7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</w:style>
  <w:style w:default="1" w:styleId="Style_5_ch" w:type="character">
    <w:name w:val="Normal"/>
    <w:link w:val="Style_5"/>
  </w:style>
  <w:style w:styleId="Style_4" w:type="paragraph">
    <w:name w:val="List Paragraph"/>
    <w:basedOn w:val="Style_5"/>
    <w:link w:val="Style_4_ch"/>
    <w:pPr>
      <w:spacing w:after="0" w:line="240" w:lineRule="auto"/>
      <w:ind w:firstLine="0" w:left="720"/>
      <w:contextualSpacing w:val="1"/>
    </w:pPr>
    <w:rPr>
      <w:rFonts w:ascii="Times New Roman" w:hAnsi="Times New Roman"/>
      <w:sz w:val="20"/>
    </w:rPr>
  </w:style>
  <w:style w:styleId="Style_4_ch" w:type="character">
    <w:name w:val="List Paragraph"/>
    <w:basedOn w:val="Style_5_ch"/>
    <w:link w:val="Style_4"/>
    <w:rPr>
      <w:rFonts w:ascii="Times New Roman" w:hAnsi="Times New Roman"/>
      <w:sz w:val="20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Balloon Text"/>
    <w:basedOn w:val="Style_5"/>
    <w:link w:val="Style_7_ch"/>
    <w:pPr>
      <w:spacing w:after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5_ch"/>
    <w:link w:val="Style_7"/>
    <w:rPr>
      <w:rFonts w:ascii="Tahoma" w:hAnsi="Tahoma"/>
      <w:sz w:val="16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List"/>
    <w:basedOn w:val="Style_12"/>
    <w:link w:val="Style_11_ch"/>
    <w:rPr>
      <w:rFonts w:ascii="PT Astra Serif" w:hAnsi="PT Astra Serif"/>
    </w:rPr>
  </w:style>
  <w:style w:styleId="Style_11_ch" w:type="character">
    <w:name w:val="List"/>
    <w:basedOn w:val="Style_12_ch"/>
    <w:link w:val="Style_11"/>
    <w:rPr>
      <w:rFonts w:ascii="PT Astra Serif" w:hAnsi="PT Astra Serif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index heading"/>
    <w:basedOn w:val="Style_5"/>
    <w:link w:val="Style_15_ch"/>
    <w:rPr>
      <w:rFonts w:ascii="PT Astra Serif" w:hAnsi="PT Astra Serif"/>
    </w:rPr>
  </w:style>
  <w:style w:styleId="Style_15_ch" w:type="character">
    <w:name w:val="index heading"/>
    <w:basedOn w:val="Style_5_ch"/>
    <w:link w:val="Style_15"/>
    <w:rPr>
      <w:rFonts w:ascii="PT Astra Serif" w:hAnsi="PT Astra Serif"/>
    </w:rPr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2" w:type="paragraph">
    <w:name w:val="Body Text"/>
    <w:basedOn w:val="Style_5"/>
    <w:link w:val="Style_12_ch"/>
    <w:pPr>
      <w:spacing w:after="140"/>
      <w:ind/>
    </w:pPr>
  </w:style>
  <w:style w:styleId="Style_12_ch" w:type="character">
    <w:name w:val="Body Text"/>
    <w:basedOn w:val="Style_5_ch"/>
    <w:link w:val="Style_12"/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Колонтитул"/>
    <w:basedOn w:val="Style_5"/>
    <w:link w:val="Style_19_ch"/>
  </w:style>
  <w:style w:styleId="Style_19_ch" w:type="character">
    <w:name w:val="Колонтитул"/>
    <w:basedOn w:val="Style_5_ch"/>
    <w:link w:val="Style_19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5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5_ch"/>
    <w:link w:val="Style_2"/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caption"/>
    <w:basedOn w:val="Style_5"/>
    <w:link w:val="Style_27_ch"/>
    <w:pPr>
      <w:spacing w:after="120" w:before="120"/>
      <w:ind/>
    </w:pPr>
    <w:rPr>
      <w:rFonts w:ascii="PT Astra Serif" w:hAnsi="PT Astra Serif"/>
      <w:i w:val="1"/>
      <w:sz w:val="24"/>
    </w:rPr>
  </w:style>
  <w:style w:styleId="Style_27_ch" w:type="character">
    <w:name w:val="caption"/>
    <w:basedOn w:val="Style_5_ch"/>
    <w:link w:val="Style_27"/>
    <w:rPr>
      <w:rFonts w:ascii="PT Astra Serif" w:hAnsi="PT Astra Serif"/>
      <w:i w:val="1"/>
      <w:sz w:val="24"/>
    </w:rPr>
  </w:style>
  <w:style w:styleId="Style_28" w:type="paragraph">
    <w:name w:val="toc 5"/>
    <w:next w:val="Style_5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29" w:type="paragraph">
    <w:name w:val="Subtitle"/>
    <w:next w:val="Style_5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basedOn w:val="Style_5"/>
    <w:next w:val="Style_12"/>
    <w:link w:val="Style_30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30_ch" w:type="character">
    <w:name w:val="Title"/>
    <w:basedOn w:val="Style_5_ch"/>
    <w:link w:val="Style_30"/>
    <w:rPr>
      <w:rFonts w:ascii="PT Astra Serif" w:hAnsi="PT Astra Serif"/>
      <w:sz w:val="28"/>
    </w:rPr>
  </w:style>
  <w:style w:styleId="Style_31" w:type="paragraph">
    <w:name w:val="heading 4"/>
    <w:next w:val="Style_5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5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2025-06-25T07:59:32Z</dcterms:modified>
</cp:coreProperties>
</file>