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F000000">
      <w:pPr>
        <w:pStyle w:val="Style_3"/>
        <w:ind/>
        <w:jc w:val="center"/>
        <w:rPr>
          <w:b w:val="1"/>
          <w:color w:val="000000"/>
          <w:sz w:val="23"/>
        </w:rPr>
      </w:pPr>
      <w:r>
        <w:rPr>
          <w:b w:val="1"/>
          <w:color w:val="000000"/>
          <w:sz w:val="23"/>
        </w:rPr>
        <w:t>ТЕКСТОВАЯ ЧАСТЬ ПРОЕКТА МЕЖЕВАНИЯ ТЕРРИТОРИИ</w:t>
      </w:r>
    </w:p>
    <w:p w14:paraId="20000000">
      <w:pPr>
        <w:widowControl w:val="0"/>
        <w:tabs>
          <w:tab w:leader="none" w:pos="709" w:val="left"/>
        </w:tabs>
        <w:ind w:firstLine="709" w:left="0"/>
        <w:jc w:val="both"/>
        <w:rPr>
          <w:b w:val="1"/>
          <w:spacing w:val="2"/>
        </w:rPr>
      </w:pPr>
      <w:r>
        <w:rPr>
          <w:b w:val="1"/>
          <w:spacing w:val="2"/>
        </w:rPr>
        <w:t>1.</w:t>
      </w:r>
      <w:r>
        <w:rPr>
          <w:b w:val="1"/>
          <w:spacing w:val="2"/>
        </w:rPr>
        <w:tab/>
      </w:r>
      <w:r>
        <w:rPr>
          <w:b w:val="1"/>
          <w:spacing w:val="2"/>
        </w:rPr>
        <w:t>Основные положения проекта межевания территории</w:t>
      </w:r>
    </w:p>
    <w:p w14:paraId="21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 xml:space="preserve">Проектируемая территория находится в Орджоникидзевском районе города Магнитогорска. С северной стороны территории проходит ул. Труда, с южной - многоквартирная многоэтажная жилая застройка, с западной – территория общего пользования, с восточной- ул. Советская. </w:t>
      </w:r>
    </w:p>
    <w:p w14:paraId="22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 xml:space="preserve">В границах проектируемой территории планируемые к размещению объекты предусмотрены ранее утвержденной документацией по планировке территории. </w:t>
      </w:r>
    </w:p>
    <w:p w14:paraId="23000000">
      <w:pPr>
        <w:widowControl w:val="0"/>
        <w:ind/>
        <w:jc w:val="both"/>
      </w:pPr>
      <w:r>
        <w:t>Таблица 1.1 – Координаты поворотных точек границ проектирования.</w:t>
      </w:r>
    </w:p>
    <w:tbl>
      <w:tblPr>
        <w:tblStyle w:val="Style_4"/>
        <w:tblW w:type="auto" w:w="0"/>
        <w:jc w:val="center"/>
        <w:tblInd w:type="dxa" w:w="8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11"/>
        <w:gridCol w:w="1626"/>
        <w:gridCol w:w="1558"/>
      </w:tblGrid>
      <w:tr>
        <w:trPr>
          <w:trHeight w:hRule="atLeast" w:val="336"/>
        </w:trPr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поворотной точки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Координата </w:t>
            </w:r>
            <w:r>
              <w:rPr>
                <w:sz w:val="20"/>
              </w:rPr>
              <w:t>Y</w:t>
            </w:r>
          </w:p>
        </w:tc>
      </w:tr>
      <w:tr>
        <w:trPr>
          <w:trHeight w:hRule="atLeast" w:val="287"/>
        </w:trPr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406286,96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1361670,66</w:t>
            </w:r>
          </w:p>
        </w:tc>
      </w:tr>
      <w:tr>
        <w:trPr>
          <w:trHeight w:hRule="atLeast" w:val="298"/>
        </w:trPr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406288,71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1361861,45</w:t>
            </w:r>
          </w:p>
        </w:tc>
      </w:tr>
      <w:tr>
        <w:trPr>
          <w:trHeight w:hRule="atLeast" w:val="287"/>
        </w:trPr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406236,57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1361862,61</w:t>
            </w:r>
          </w:p>
        </w:tc>
      </w:tr>
      <w:tr>
        <w:trPr>
          <w:trHeight w:hRule="atLeast" w:val="287"/>
        </w:trPr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406233,07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1361671,82</w:t>
            </w:r>
          </w:p>
        </w:tc>
      </w:tr>
    </w:tbl>
    <w:p w14:paraId="33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Территория проектирования располагается согласно карте градостроительного зонирования ПЗиЗ располагается в следующей территориальной зоне:</w:t>
      </w:r>
    </w:p>
    <w:p w14:paraId="34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Зона   многоэтажной многоквартирной жилой застройки:</w:t>
      </w:r>
    </w:p>
    <w:p w14:paraId="35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Зона многоэтажной многоквартирной жилой застройки Ж-1 выделена для</w:t>
      </w:r>
    </w:p>
    <w:p w14:paraId="36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формирования жилых районов с размещением многоквартирных домов от 9 этажей и</w:t>
      </w:r>
      <w:r>
        <w:rPr>
          <w:spacing w:val="2"/>
        </w:rPr>
        <w:t xml:space="preserve"> </w:t>
      </w:r>
      <w:r>
        <w:rPr>
          <w:spacing w:val="2"/>
        </w:rPr>
        <w:t xml:space="preserve">выше (Ж-1). </w:t>
      </w:r>
    </w:p>
    <w:p w14:paraId="37000000">
      <w:pPr>
        <w:widowControl w:val="0"/>
        <w:ind w:firstLine="709" w:left="0"/>
        <w:jc w:val="both"/>
        <w:rPr>
          <w:spacing w:val="2"/>
        </w:rPr>
      </w:pPr>
      <w:r>
        <w:t>- максимальный процент застройки в границах земельного участка – 40 %;</w:t>
      </w:r>
    </w:p>
    <w:p w14:paraId="38000000">
      <w:pPr>
        <w:widowControl w:val="0"/>
        <w:ind w:firstLine="709" w:left="0"/>
        <w:jc w:val="both"/>
        <w:rPr>
          <w:spacing w:val="2"/>
        </w:rPr>
      </w:pPr>
      <w:r>
        <w:t>- коэффициент плотности застройки – 1,2;</w:t>
      </w:r>
    </w:p>
    <w:p w14:paraId="39000000">
      <w:pPr>
        <w:widowControl w:val="0"/>
        <w:ind w:firstLine="709" w:left="0"/>
        <w:jc w:val="both"/>
        <w:rPr>
          <w:spacing w:val="2"/>
        </w:rPr>
      </w:pPr>
      <w:r>
        <w:t>- озеленение территории - не менее 25 процентов от площади земельного участка.</w:t>
      </w:r>
    </w:p>
    <w:p w14:paraId="3A000000">
      <w:pPr>
        <w:widowControl w:val="0"/>
        <w:tabs>
          <w:tab w:leader="none" w:pos="851" w:val="left"/>
        </w:tabs>
        <w:ind w:firstLine="709" w:left="0"/>
        <w:jc w:val="both"/>
        <w:rPr>
          <w:b w:val="1"/>
        </w:rPr>
      </w:pPr>
      <w:r>
        <w:rPr>
          <w:b w:val="1"/>
        </w:rPr>
        <w:t>Категория земель – земли населенных пунктов.</w:t>
      </w:r>
    </w:p>
    <w:p w14:paraId="3B000000">
      <w:pPr>
        <w:widowControl w:val="0"/>
        <w:ind w:firstLine="709" w:left="0"/>
        <w:jc w:val="both"/>
      </w:pPr>
      <w:r>
        <w:t xml:space="preserve">Проект межевания территории разработан с целью определения местоположения границ, образуемого земельного участка для размещения магазина по адресу </w:t>
      </w:r>
      <w:r>
        <w:t>Челябинская область, г Магнитогорск, Магнитогорский городской округ, ул. Труда, земельный участок 41/1.</w:t>
      </w:r>
    </w:p>
    <w:p w14:paraId="3C000000">
      <w:pPr>
        <w:widowControl w:val="0"/>
        <w:ind w:firstLine="709" w:left="0"/>
        <w:jc w:val="both"/>
      </w:pPr>
      <w:r>
        <w:t>Образование данного земельного участка проводится в один этап:</w:t>
      </w:r>
    </w:p>
    <w:p w14:paraId="3D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Проектом межевания территории предусмотрено образование земельных участка ЗУ1. Образование земельного участка происходит путем: перераспределения исходного земельного участка с кадастровым номером 74:33:0307001:7193 с «землями неразграниченной государственной собственности» с целью исключения изломанности границ, согласно п.п.2, п.1, статьи 39.28 Земельного кодекса РФ от 25.10.2001 N 136-ФЗ (ред. </w:t>
      </w:r>
      <w:r>
        <w:t>О</w:t>
      </w:r>
      <w:r>
        <w:t>т</w:t>
      </w:r>
      <w:r>
        <w:t xml:space="preserve"> </w:t>
      </w:r>
      <w:r>
        <w:t>04.08.2023).</w:t>
      </w:r>
    </w:p>
    <w:p w14:paraId="3E000000">
      <w:pPr>
        <w:sectPr>
          <w:headerReference r:id="rId6" w:type="default"/>
          <w:headerReference r:id="rId8" w:type="first"/>
          <w:footerReference r:id="rId7" w:type="default"/>
          <w:pgSz w:h="16838" w:orient="portrait" w:w="11906"/>
          <w:pgMar w:bottom="1701" w:footer="176" w:gutter="0" w:header="420" w:left="1134" w:right="1134" w:top="850"/>
          <w:titlePg/>
        </w:sectPr>
      </w:pPr>
    </w:p>
    <w:p w14:paraId="3F000000">
      <w:pPr>
        <w:widowControl w:val="0"/>
        <w:tabs>
          <w:tab w:leader="none" w:pos="851" w:val="left"/>
        </w:tabs>
        <w:ind/>
        <w:jc w:val="both"/>
      </w:pPr>
      <w:r>
        <w:t>Таблица 1.2 – Таблица образуемых и изменяемых земельных участков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95"/>
        <w:gridCol w:w="1428"/>
        <w:gridCol w:w="1201"/>
        <w:gridCol w:w="1650"/>
        <w:gridCol w:w="1479"/>
        <w:gridCol w:w="1766"/>
        <w:gridCol w:w="467"/>
        <w:gridCol w:w="452"/>
        <w:gridCol w:w="1766"/>
        <w:gridCol w:w="452"/>
        <w:gridCol w:w="1094"/>
        <w:gridCol w:w="853"/>
      </w:tblGrid>
      <w:tr>
        <w:trPr>
          <w:trHeight w:hRule="atLeast" w:val="1005"/>
        </w:trPr>
        <w:tc>
          <w:tcPr>
            <w:tcW w:type="dxa" w:w="18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  <w:tc>
          <w:tcPr>
            <w:tcW w:type="dxa" w:w="14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№ земельного участка согласно ЕГРН (площадь земельного участка)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Земельного участка согласно проекта межевания территории</w:t>
            </w:r>
          </w:p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(площадь земельного участка)</w:t>
            </w:r>
          </w:p>
        </w:tc>
        <w:tc>
          <w:tcPr>
            <w:tcW w:type="dxa" w:w="16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 согласно сведениям ЕГРН</w:t>
            </w:r>
          </w:p>
          <w:p w14:paraId="45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</w:p>
        </w:tc>
        <w:tc>
          <w:tcPr>
            <w:tcW w:type="dxa" w:w="14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согласно сведениям, из ЕГРН</w:t>
            </w:r>
          </w:p>
          <w:p w14:paraId="47000000">
            <w:pPr>
              <w:pStyle w:val="Style_5"/>
              <w:widowControl w:val="0"/>
              <w:tabs>
                <w:tab w:leader="none" w:pos="742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</w:p>
        </w:tc>
        <w:tc>
          <w:tcPr>
            <w:tcW w:type="dxa" w:w="1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вида разрешенного использования земельного участка (приведено в соответствии с Правилами землепользования и застройки г. Магнитогорска)</w:t>
            </w:r>
          </w:p>
          <w:p w14:paraId="49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A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4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B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№ объекта на чертеже</w:t>
            </w:r>
          </w:p>
        </w:tc>
        <w:tc>
          <w:tcPr>
            <w:tcW w:type="dxa" w:w="1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капитального строительства, размещенный на земельном участке, цель использования земельного участка (приведено в соответствии с Правилами землепользования и застройки г. Магнитогорска).</w:t>
            </w:r>
          </w:p>
        </w:tc>
        <w:tc>
          <w:tcPr>
            <w:tcW w:type="dxa" w:w="4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9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Площадь, м2</w:t>
            </w:r>
          </w:p>
        </w:tc>
      </w:tr>
      <w:tr>
        <w:trPr>
          <w:trHeight w:hRule="atLeast" w:val="1930"/>
        </w:trPr>
        <w:tc>
          <w:tcPr>
            <w:tcW w:type="dxa" w:w="18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Застройки</w:t>
            </w:r>
          </w:p>
          <w:p w14:paraId="50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>Общая</w:t>
            </w:r>
          </w:p>
        </w:tc>
      </w:tr>
      <w:tr>
        <w:trPr>
          <w:trHeight w:hRule="atLeast" w:val="1134"/>
        </w:trPr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исходного земельного участка с землей неразграниченной государственной собственности с целью исключения изломанности границ</w:t>
            </w:r>
          </w:p>
        </w:tc>
        <w:tc>
          <w:tcPr>
            <w:tcW w:type="dxa" w:w="1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</w:p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74:33:0307001</w:t>
            </w:r>
          </w:p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:7193</w:t>
            </w:r>
          </w:p>
          <w:p w14:paraId="56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(239,0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  <w:p w14:paraId="5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ЗУ1</w:t>
            </w:r>
          </w:p>
          <w:p w14:paraId="5900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(2</w:t>
            </w:r>
            <w:r>
              <w:rPr>
                <w:sz w:val="20"/>
              </w:rPr>
              <w:t>87</w:t>
            </w:r>
            <w:r>
              <w:rPr>
                <w:sz w:val="20"/>
              </w:rPr>
              <w:t xml:space="preserve">,50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Магнитогорский городской округ, ул. Труда, земельный участок 41/1</w:t>
            </w:r>
          </w:p>
          <w:p w14:paraId="5C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</w:p>
        </w:tc>
        <w:tc>
          <w:tcPr>
            <w:tcW w:type="dxa" w:w="1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</w:p>
          <w:p w14:paraId="5E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type="dxa" w:w="1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</w:p>
          <w:p w14:paraId="60000000">
            <w:pPr>
              <w:pStyle w:val="Style_5"/>
              <w:widowControl w:val="0"/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 xml:space="preserve">Магазины 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sz w:val="20"/>
              </w:rPr>
            </w:pPr>
          </w:p>
          <w:p w14:paraId="62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</w:p>
          <w:p w14:paraId="64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1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</w:p>
          <w:p w14:paraId="66000000">
            <w:pPr>
              <w:pStyle w:val="Style_5"/>
              <w:widowControl w:val="0"/>
              <w:tabs>
                <w:tab w:leader="none" w:pos="851" w:val="left"/>
              </w:tabs>
              <w:ind w:firstLine="0" w:left="0"/>
              <w:contextualSpacing w:val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</w:p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</w:p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11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>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</w:p>
          <w:p w14:paraId="6C000000">
            <w:pPr>
              <w:widowControl w:val="0"/>
              <w:ind/>
              <w:jc w:val="both"/>
              <w:rPr>
                <w:sz w:val="20"/>
              </w:rPr>
            </w:pPr>
          </w:p>
          <w:p w14:paraId="6D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>,0</w:t>
            </w:r>
          </w:p>
        </w:tc>
      </w:tr>
    </w:tbl>
    <w:p w14:paraId="6E000000">
      <w:pPr>
        <w:widowControl w:val="0"/>
        <w:ind w:firstLine="709" w:left="0"/>
        <w:jc w:val="both"/>
      </w:pPr>
      <w:r>
        <w:t>Примечание:</w:t>
      </w:r>
    </w:p>
    <w:p w14:paraId="6F000000">
      <w:pPr>
        <w:widowControl w:val="0"/>
        <w:ind w:firstLine="709" w:left="0"/>
        <w:jc w:val="both"/>
      </w:pPr>
      <w:r>
        <w:t>1.  Условно разрешенный вид использования земельного участка и объекта капитального   строительства. Для предоставления разрешения на условно разрешенный вид использования земельного участка или объекта капитального строительства, необходимо пройти процедуру общественных обсуждений. ("Градостроительный кодекс Российской Федерации" от 29.12.2004,  ст.39).</w:t>
      </w:r>
    </w:p>
    <w:p w14:paraId="70000000">
      <w:pPr>
        <w:sectPr>
          <w:headerReference r:id="rId2" w:type="default"/>
          <w:headerReference r:id="rId1" w:type="first"/>
          <w:footerReference r:id="rId3" w:type="default"/>
          <w:pgSz w:h="11906" w:orient="landscape" w:w="16838"/>
          <w:pgMar w:bottom="1134" w:footer="176" w:gutter="0" w:header="420" w:left="1701" w:right="850" w:top="1134"/>
        </w:sectPr>
      </w:pPr>
    </w:p>
    <w:p w14:paraId="71000000">
      <w:pPr>
        <w:widowControl w:val="0"/>
        <w:ind w:firstLine="709" w:left="0"/>
        <w:jc w:val="both"/>
        <w:rPr>
          <w:b w:val="1"/>
        </w:rPr>
      </w:pPr>
      <w:r>
        <w:rPr>
          <w:b w:val="1"/>
          <w:color w:val="000000"/>
        </w:rPr>
        <w:t xml:space="preserve">2. </w:t>
      </w:r>
      <w:r>
        <w:rPr>
          <w:b w:val="1"/>
        </w:rPr>
        <w:t>Градостроительные регламенты</w:t>
      </w:r>
    </w:p>
    <w:p w14:paraId="72000000">
      <w:pPr>
        <w:widowControl w:val="0"/>
        <w:ind/>
        <w:jc w:val="both"/>
        <w:rPr>
          <w:b w:val="1"/>
        </w:rPr>
      </w:pPr>
      <w:r>
        <w:rPr>
          <w:b w:val="1"/>
          <w:color w:val="000000"/>
        </w:rPr>
        <w:t>Таблица 2.1</w:t>
      </w:r>
      <w:r>
        <w:t xml:space="preserve"> </w:t>
      </w:r>
      <w:r>
        <w:rPr>
          <w:b w:val="1"/>
        </w:rPr>
        <w:t>Виды и состав территориальных зон, выделенных на карте градостроительного зонирования</w:t>
      </w:r>
    </w:p>
    <w:tbl>
      <w:tblPr>
        <w:tblStyle w:val="Style_4"/>
        <w:tblW w:type="auto" w:w="0"/>
        <w:tblLayout w:type="fixed"/>
      </w:tblPr>
      <w:tblGrid>
        <w:gridCol w:w="3102"/>
        <w:gridCol w:w="6752"/>
      </w:tblGrid>
      <w:tr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300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bookmarkStart w:id="1" w:name="_Hlk56581859"/>
            <w:r>
              <w:rPr>
                <w:b w:val="1"/>
                <w:i w:val="1"/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6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383"/>
        </w:trPr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Жилые зоны</w:t>
            </w:r>
          </w:p>
        </w:tc>
      </w:tr>
      <w:tr>
        <w:trPr>
          <w:trHeight w:hRule="atLeast" w:val="383"/>
        </w:trPr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Ж-1</w:t>
            </w:r>
          </w:p>
        </w:tc>
        <w:tc>
          <w:tcPr>
            <w:tcW w:type="dxa" w:w="6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многоэтажной многоквартирной жилой застройки</w:t>
            </w:r>
          </w:p>
        </w:tc>
      </w:tr>
    </w:tbl>
    <w:p w14:paraId="79000000">
      <w:pPr>
        <w:widowControl w:val="0"/>
        <w:ind w:firstLine="709" w:left="0"/>
        <w:jc w:val="both"/>
      </w:pPr>
      <w:r>
        <w:t>*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порядке, предусмотренном статьей 7. «Порядок предоставления разрешения на условно разрешённый вид использования земельного участка или объекта капитального строительства» правил землепользования и застройки города Магнитогорска.</w:t>
      </w:r>
    </w:p>
    <w:p w14:paraId="7A000000">
      <w:pPr>
        <w:pStyle w:val="Style_6"/>
        <w:widowControl w:val="0"/>
        <w:numPr>
          <w:ilvl w:val="0"/>
          <w:numId w:val="1"/>
        </w:numPr>
        <w:spacing w:after="0"/>
        <w:ind w:firstLine="709" w:left="0"/>
        <w:jc w:val="both"/>
        <w:rPr>
          <w:b w:val="1"/>
        </w:rPr>
      </w:pPr>
      <w:bookmarkEnd w:id="1"/>
      <w:r>
        <w:rPr>
          <w:b w:val="1"/>
        </w:rPr>
        <w:t>Перечень сервитутов</w:t>
      </w:r>
    </w:p>
    <w:p w14:paraId="7B000000">
      <w:pPr>
        <w:widowControl w:val="0"/>
        <w:ind w:firstLine="709" w:left="0"/>
        <w:jc w:val="both"/>
        <w:rPr>
          <w:b w:val="1"/>
          <w:color w:val="000000"/>
          <w:sz w:val="23"/>
        </w:rPr>
      </w:pPr>
      <w:r>
        <w:rPr>
          <w:i w:val="1"/>
          <w:color w:val="000000"/>
          <w:sz w:val="23"/>
        </w:rPr>
        <w:t>Предложения по установлению сервитутов</w:t>
      </w:r>
    </w:p>
    <w:p w14:paraId="7C000000">
      <w:pPr>
        <w:pStyle w:val="Style_6"/>
        <w:widowControl w:val="0"/>
        <w:spacing w:after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 xml:space="preserve">Согласно п. 2 ст. 23 ЗК РФ: публичный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7D000000">
      <w:pPr>
        <w:pStyle w:val="Style_6"/>
        <w:widowControl w:val="0"/>
        <w:spacing w:after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>Сервитут – это право ограниченного пользования чужим земельным участком.</w:t>
      </w:r>
    </w:p>
    <w:p w14:paraId="7E000000">
      <w:pPr>
        <w:pStyle w:val="Style_6"/>
        <w:widowControl w:val="0"/>
        <w:spacing w:after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>Согласно исходным данным существующих границ зон действия публичных сервитутов на проектируемой территории нет.</w:t>
      </w:r>
    </w:p>
    <w:p w14:paraId="7F000000">
      <w:pPr>
        <w:pStyle w:val="Style_6"/>
        <w:widowControl w:val="0"/>
        <w:spacing w:after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80000000">
      <w:pPr>
        <w:pStyle w:val="Style_6"/>
        <w:widowControl w:val="0"/>
        <w:spacing w:after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81000000">
      <w:pPr>
        <w:widowControl w:val="0"/>
        <w:tabs>
          <w:tab w:leader="none" w:pos="851" w:val="left"/>
        </w:tabs>
        <w:ind w:firstLine="709" w:left="0"/>
        <w:jc w:val="both"/>
        <w:rPr>
          <w:sz w:val="23"/>
        </w:rPr>
      </w:pPr>
      <w:r>
        <w:rPr>
          <w:sz w:val="23"/>
        </w:rPr>
        <w:t>Проектом межевания территории устанавливаются зоны действия сервитутов в целях ремонта коммунальных, инженерных и других сетей:</w:t>
      </w:r>
    </w:p>
    <w:p w14:paraId="82000000">
      <w:pPr>
        <w:widowControl w:val="0"/>
        <w:ind w:firstLine="709" w:left="0"/>
        <w:jc w:val="both"/>
        <w:rPr>
          <w:spacing w:val="2"/>
          <w:sz w:val="23"/>
        </w:rPr>
      </w:pPr>
      <w:r>
        <w:rPr>
          <w:sz w:val="23"/>
        </w:rPr>
        <w:t>- для газопровода - 2м</w:t>
      </w:r>
      <w:r>
        <w:rPr>
          <w:spacing w:val="2"/>
          <w:sz w:val="23"/>
        </w:rPr>
        <w:t xml:space="preserve"> в каждую сторону от оси газопровода (согласно «Правилам охраны газораспределительных сетей»);</w:t>
      </w:r>
    </w:p>
    <w:p w14:paraId="83000000">
      <w:pPr>
        <w:widowControl w:val="0"/>
        <w:ind w:firstLine="709" w:left="0"/>
        <w:jc w:val="both"/>
        <w:rPr>
          <w:spacing w:val="2"/>
          <w:sz w:val="23"/>
        </w:rPr>
      </w:pPr>
      <w:r>
        <w:rPr>
          <w:sz w:val="23"/>
        </w:rPr>
        <w:t xml:space="preserve">- от оси кабельной линии – 1 м в каждую сторону </w:t>
      </w:r>
      <w:r>
        <w:rPr>
          <w:spacing w:val="2"/>
          <w:sz w:val="23"/>
        </w:rPr>
        <w:t>(согласно Постановлению Правительства от 24 февраля 2009 года, N 160 «О порядке установления охранных зон объектов электросетевого хозяйства и особых условий использования земельных участков, расположенных в границах таких зон»);</w:t>
      </w:r>
    </w:p>
    <w:p w14:paraId="84000000">
      <w:pPr>
        <w:widowControl w:val="0"/>
        <w:ind w:firstLine="709" w:left="0"/>
        <w:jc w:val="both"/>
        <w:rPr>
          <w:spacing w:val="2"/>
          <w:sz w:val="23"/>
        </w:rPr>
      </w:pPr>
      <w:r>
        <w:rPr>
          <w:sz w:val="23"/>
        </w:rPr>
        <w:t xml:space="preserve">- для водопровода – 5 м до фундаментов зданий и сооружений </w:t>
      </w:r>
      <w:r>
        <w:rPr>
          <w:spacing w:val="2"/>
          <w:sz w:val="23"/>
        </w:rPr>
        <w:t>(согласно СП 42.13330.2011);</w:t>
      </w:r>
    </w:p>
    <w:p w14:paraId="85000000">
      <w:pPr>
        <w:widowControl w:val="0"/>
        <w:ind w:firstLine="709" w:left="0"/>
        <w:jc w:val="both"/>
        <w:rPr>
          <w:spacing w:val="2"/>
          <w:sz w:val="23"/>
        </w:rPr>
      </w:pPr>
      <w:r>
        <w:rPr>
          <w:sz w:val="23"/>
        </w:rPr>
        <w:t xml:space="preserve">- для канализации – 3 м до фундаментов зданий и сооружений </w:t>
      </w:r>
      <w:r>
        <w:rPr>
          <w:spacing w:val="2"/>
          <w:sz w:val="23"/>
        </w:rPr>
        <w:t>(согласно СП 42.13330.2011);</w:t>
      </w:r>
    </w:p>
    <w:p w14:paraId="86000000">
      <w:pPr>
        <w:widowControl w:val="0"/>
        <w:tabs>
          <w:tab w:leader="none" w:pos="851" w:val="left"/>
        </w:tabs>
        <w:ind w:firstLine="709" w:left="0"/>
        <w:jc w:val="both"/>
        <w:rPr>
          <w:sz w:val="23"/>
        </w:rPr>
      </w:pPr>
      <w:r>
        <w:rPr>
          <w:sz w:val="23"/>
        </w:rPr>
        <w:t>- для воздушных линий электропередачи (ВЛ) по обе стороны от проекции на землю от крайних проводов:</w:t>
      </w:r>
    </w:p>
    <w:p w14:paraId="87000000">
      <w:pPr>
        <w:widowControl w:val="0"/>
        <w:tabs>
          <w:tab w:leader="none" w:pos="851" w:val="left"/>
        </w:tabs>
        <w:ind w:firstLine="709" w:left="0"/>
        <w:jc w:val="both"/>
        <w:rPr>
          <w:sz w:val="23"/>
        </w:rPr>
      </w:pPr>
      <w:r>
        <w:rPr>
          <w:sz w:val="23"/>
        </w:rPr>
        <w:t xml:space="preserve">     - 2 м для ВЛ 0,4 кВ </w:t>
      </w:r>
    </w:p>
    <w:p w14:paraId="88000000">
      <w:pPr>
        <w:widowControl w:val="0"/>
        <w:tabs>
          <w:tab w:leader="none" w:pos="851" w:val="left"/>
        </w:tabs>
        <w:ind w:firstLine="709" w:left="0"/>
        <w:jc w:val="both"/>
        <w:rPr>
          <w:spacing w:val="2"/>
          <w:sz w:val="23"/>
        </w:rPr>
      </w:pPr>
      <w:r>
        <w:rPr>
          <w:sz w:val="23"/>
        </w:rPr>
        <w:t xml:space="preserve">- 10м для ВЛ 10кВ </w:t>
      </w:r>
      <w:r>
        <w:rPr>
          <w:spacing w:val="2"/>
          <w:sz w:val="23"/>
        </w:rPr>
        <w:t>(согласно Постановлению Правительства от 24 февраля 2009 года, N 160 «О порядке установления охранных зон объектов электросетевого хозяйства и особых условий использования земельных участков, расположенных в границах таких зон»).</w:t>
      </w:r>
    </w:p>
    <w:p w14:paraId="89000000">
      <w:pPr>
        <w:widowControl w:val="0"/>
        <w:tabs>
          <w:tab w:leader="none" w:pos="851" w:val="left"/>
        </w:tabs>
        <w:ind w:firstLine="709" w:left="0"/>
        <w:jc w:val="both"/>
        <w:rPr>
          <w:sz w:val="23"/>
        </w:rPr>
      </w:pPr>
      <w:r>
        <w:rPr>
          <w:sz w:val="23"/>
        </w:rPr>
        <w:t>Проектом межевания территории устанавливаются зоны действия сервитутов в целях размещения проезжей части.</w:t>
      </w:r>
    </w:p>
    <w:p w14:paraId="8A000000">
      <w:pPr>
        <w:widowControl w:val="0"/>
        <w:ind w:firstLine="709" w:left="0"/>
        <w:jc w:val="both"/>
        <w:rPr>
          <w:b w:val="1"/>
        </w:rPr>
      </w:pPr>
    </w:p>
    <w:p w14:paraId="8B000000">
      <w:pPr>
        <w:pStyle w:val="Style_6"/>
        <w:widowControl w:val="0"/>
        <w:spacing w:after="0"/>
        <w:ind w:firstLine="709" w:left="0"/>
        <w:jc w:val="both"/>
      </w:pPr>
    </w:p>
    <w:sectPr>
      <w:headerReference r:id="rId4" w:type="default"/>
      <w:headerReference r:id="rId9" w:type="first"/>
      <w:footerReference r:id="rId5" w:type="default"/>
      <w:pgSz w:h="16838" w:orient="portrait" w:w="11906"/>
      <w:pgMar w:bottom="1701" w:footer="176" w:gutter="0" w:header="420" w:left="1134" w:right="1134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center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center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ind/>
      <w:jc w:val="center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</w:pPr>
  </w:p>
  <w:p w14:paraId="08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0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1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2000000">
    <w:pPr>
      <w:tabs>
        <w:tab w:leader="none" w:pos="1418" w:val="left"/>
      </w:tabs>
      <w:ind w:firstLine="709" w:left="0"/>
      <w:jc w:val="right"/>
    </w:pPr>
    <w:r>
      <w:t>от</w:t>
    </w:r>
    <w:r>
      <w:rPr>
        <w:sz w:val="24"/>
      </w:rPr>
      <w:t xml:space="preserve"> 16.06.2025 № 5165-П</w:t>
    </w:r>
  </w:p>
  <w:p w14:paraId="13000000">
    <w:pPr>
      <w:pStyle w:val="Style_1"/>
      <w:ind/>
      <w:jc w:val="right"/>
    </w:pPr>
  </w:p>
  <w:p w14:paraId="14000000">
    <w:pPr>
      <w:pStyle w:val="Style_1"/>
      <w:ind/>
      <w:jc w:val="right"/>
    </w:pPr>
  </w:p>
  <w:p w14:paraId="15000000">
    <w:pPr>
      <w:pStyle w:val="Style_1"/>
    </w:pPr>
  </w:p>
  <w:p w14:paraId="16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8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9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A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B000000">
    <w:pPr>
      <w:pStyle w:val="Style_1"/>
      <w:ind/>
      <w:jc w:val="right"/>
    </w:pPr>
  </w:p>
  <w:p w14:paraId="1C000000">
    <w:pPr>
      <w:pStyle w:val="Style_1"/>
      <w:ind/>
      <w:jc w:val="right"/>
    </w:pPr>
  </w:p>
  <w:p w14:paraId="1D000000">
    <w:pPr>
      <w:pStyle w:val="Style_1"/>
    </w:pPr>
  </w:p>
  <w:p w14:paraId="1E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ind w:hanging="360" w:left="786"/>
      </w:pPr>
    </w:lvl>
    <w:lvl w:ilvl="1">
      <w:start w:val="1"/>
      <w:numFmt w:val="lowerLetter"/>
      <w:lvlText w:val="%2."/>
      <w:lvlJc w:val="left"/>
      <w:pPr>
        <w:ind w:hanging="360" w:left="1506"/>
      </w:pPr>
    </w:lvl>
    <w:lvl w:ilvl="2">
      <w:start w:val="1"/>
      <w:numFmt w:val="lowerRoman"/>
      <w:lvlText w:val="%3."/>
      <w:lvlJc w:val="right"/>
      <w:pPr>
        <w:ind w:hanging="180" w:left="2226"/>
      </w:pPr>
    </w:lvl>
    <w:lvl w:ilvl="3">
      <w:start w:val="1"/>
      <w:numFmt w:val="decimal"/>
      <w:lvlText w:val="%4."/>
      <w:lvlJc w:val="left"/>
      <w:pPr>
        <w:ind w:hanging="360" w:left="2946"/>
      </w:pPr>
    </w:lvl>
    <w:lvl w:ilvl="4">
      <w:start w:val="1"/>
      <w:numFmt w:val="lowerLetter"/>
      <w:lvlText w:val="%5."/>
      <w:lvlJc w:val="left"/>
      <w:pPr>
        <w:ind w:hanging="360" w:left="3666"/>
      </w:pPr>
    </w:lvl>
    <w:lvl w:ilvl="5">
      <w:start w:val="1"/>
      <w:numFmt w:val="lowerRoman"/>
      <w:lvlText w:val="%6."/>
      <w:lvlJc w:val="right"/>
      <w:pPr>
        <w:ind w:hanging="180" w:left="4386"/>
      </w:pPr>
    </w:lvl>
    <w:lvl w:ilvl="6">
      <w:start w:val="1"/>
      <w:numFmt w:val="decimal"/>
      <w:lvlText w:val="%7."/>
      <w:lvlJc w:val="left"/>
      <w:pPr>
        <w:ind w:hanging="360" w:left="5106"/>
      </w:pPr>
    </w:lvl>
    <w:lvl w:ilvl="7">
      <w:start w:val="1"/>
      <w:numFmt w:val="lowerLetter"/>
      <w:lvlText w:val="%8."/>
      <w:lvlJc w:val="left"/>
      <w:pPr>
        <w:ind w:hanging="360" w:left="5826"/>
      </w:pPr>
    </w:lvl>
    <w:lvl w:ilvl="8">
      <w:start w:val="1"/>
      <w:numFmt w:val="lowerRoman"/>
      <w:lvlText w:val="%9."/>
      <w:lvlJc w:val="right"/>
      <w:pPr>
        <w:ind w:hanging="180" w:left="6546"/>
      </w:pPr>
    </w:lvl>
  </w:abstractNum>
  <w:abstractNum w:abstractNumId="1">
    <w:lvl w:ilvl="0">
      <w:start w:val="1"/>
      <w:numFmt w:val="decimal"/>
      <w:pStyle w:val="Style_30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Body Text Indent 2"/>
    <w:basedOn w:val="Style_7"/>
    <w:link w:val="Style_9_ch"/>
    <w:pPr>
      <w:spacing w:after="120" w:line="480" w:lineRule="auto"/>
      <w:ind w:firstLine="0" w:left="283"/>
    </w:pPr>
  </w:style>
  <w:style w:styleId="Style_9_ch" w:type="character">
    <w:name w:val="Body Text Indent 2"/>
    <w:basedOn w:val="Style_7_ch"/>
    <w:link w:val="Style_9"/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Default"/>
    <w:link w:val="Style_13_ch"/>
    <w:rPr>
      <w:rFonts w:ascii="Times New Roman" w:hAnsi="Times New Roman"/>
      <w:color w:val="000000"/>
      <w:sz w:val="24"/>
    </w:rPr>
  </w:style>
  <w:style w:styleId="Style_13_ch" w:type="character">
    <w:name w:val="Default"/>
    <w:link w:val="Style_13"/>
    <w:rPr>
      <w:rFonts w:ascii="Times New Roman" w:hAnsi="Times New Roman"/>
      <w:color w:val="000000"/>
      <w:sz w:val="24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Plain Text"/>
    <w:basedOn w:val="Style_7"/>
    <w:link w:val="Style_16_ch"/>
    <w:rPr>
      <w:rFonts w:ascii="Consolas" w:hAnsi="Consolas"/>
      <w:sz w:val="21"/>
    </w:rPr>
  </w:style>
  <w:style w:styleId="Style_16_ch" w:type="character">
    <w:name w:val="Plain Text"/>
    <w:basedOn w:val="Style_7_ch"/>
    <w:link w:val="Style_16"/>
    <w:rPr>
      <w:rFonts w:ascii="Consolas" w:hAnsi="Consolas"/>
      <w:sz w:val="21"/>
    </w:rPr>
  </w:style>
  <w:style w:styleId="Style_17" w:type="paragraph">
    <w:name w:val="Нормальный-2"/>
    <w:basedOn w:val="Style_7"/>
    <w:link w:val="Style_17_ch"/>
    <w:pPr>
      <w:spacing w:before="120"/>
      <w:ind w:firstLine="851" w:left="284" w:right="170"/>
      <w:jc w:val="both"/>
    </w:pPr>
    <w:rPr>
      <w:sz w:val="26"/>
    </w:rPr>
  </w:style>
  <w:style w:styleId="Style_17_ch" w:type="character">
    <w:name w:val="Нормальный-2"/>
    <w:basedOn w:val="Style_7_ch"/>
    <w:link w:val="Style_17"/>
    <w:rPr>
      <w:sz w:val="26"/>
    </w:rPr>
  </w:style>
  <w:style w:styleId="Style_2" w:type="paragraph">
    <w:name w:val="footer"/>
    <w:basedOn w:val="Style_7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7_ch"/>
    <w:link w:val="Style_2"/>
    <w:rPr>
      <w:sz w:val="20"/>
    </w:rPr>
  </w:style>
  <w:style w:styleId="Style_18" w:type="paragraph">
    <w:name w:val="toc 3"/>
    <w:next w:val="Style_7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Без интервала1"/>
    <w:link w:val="Style_19_ch"/>
    <w:pPr>
      <w:ind w:firstLine="720" w:left="0"/>
      <w:jc w:val="both"/>
    </w:pPr>
    <w:rPr>
      <w:rFonts w:ascii="Times New Roman" w:hAnsi="Times New Roman"/>
      <w:sz w:val="24"/>
    </w:rPr>
  </w:style>
  <w:style w:styleId="Style_19_ch" w:type="character">
    <w:name w:val="Без интервала1"/>
    <w:link w:val="Style_19"/>
    <w:rPr>
      <w:rFonts w:ascii="Times New Roman" w:hAnsi="Times New Roman"/>
      <w:sz w:val="24"/>
    </w:rPr>
  </w:style>
  <w:style w:styleId="Style_20" w:type="paragraph">
    <w:name w:val="heading 5"/>
    <w:next w:val="Style_7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7"/>
    <w:next w:val="Style_7"/>
    <w:link w:val="Style_2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1_ch" w:type="character">
    <w:name w:val="heading 1"/>
    <w:basedOn w:val="Style_7_ch"/>
    <w:link w:val="Style_21"/>
    <w:rPr>
      <w:rFonts w:ascii="Arial" w:hAnsi="Arial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match"/>
    <w:link w:val="Style_24_ch"/>
  </w:style>
  <w:style w:styleId="Style_24_ch" w:type="character">
    <w:name w:val="match"/>
    <w:link w:val="Style_24"/>
  </w:style>
  <w:style w:styleId="Style_25" w:type="paragraph">
    <w:name w:val="toc 1"/>
    <w:next w:val="Style_7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Гипертекстовая ссылка"/>
    <w:link w:val="Style_27_ch"/>
    <w:rPr>
      <w:b w:val="1"/>
      <w:color w:val="008000"/>
    </w:rPr>
  </w:style>
  <w:style w:styleId="Style_27_ch" w:type="character">
    <w:name w:val="Гипертекстовая ссылка"/>
    <w:link w:val="Style_27"/>
    <w:rPr>
      <w:b w:val="1"/>
      <w:color w:val="008000"/>
    </w:rPr>
  </w:style>
  <w:style w:styleId="Style_1" w:type="paragraph">
    <w:name w:val="header"/>
    <w:basedOn w:val="Style_7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7_ch"/>
    <w:link w:val="Style_1"/>
    <w:rPr>
      <w:sz w:val="20"/>
    </w:rPr>
  </w:style>
  <w:style w:styleId="Style_28" w:type="paragraph">
    <w:name w:val="page number"/>
    <w:link w:val="Style_28_ch"/>
  </w:style>
  <w:style w:styleId="Style_28_ch" w:type="character">
    <w:name w:val="page number"/>
    <w:link w:val="Style_28"/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Список маркированный 1"/>
    <w:basedOn w:val="Style_7"/>
    <w:link w:val="Style_30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30_ch" w:type="character">
    <w:name w:val="Список маркированный 1"/>
    <w:basedOn w:val="Style_7_ch"/>
    <w:link w:val="Style_30"/>
  </w:style>
  <w:style w:styleId="Style_31" w:type="paragraph">
    <w:name w:val="toc 8"/>
    <w:next w:val="Style_7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toc 5"/>
    <w:next w:val="Style_7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" w:type="paragraph">
    <w:name w:val="Normal (Web)"/>
    <w:basedOn w:val="Style_7"/>
    <w:link w:val="Style_3_ch"/>
    <w:pPr>
      <w:spacing w:after="280" w:before="280"/>
      <w:ind/>
    </w:pPr>
  </w:style>
  <w:style w:styleId="Style_3_ch" w:type="character">
    <w:name w:val="Normal (Web)"/>
    <w:basedOn w:val="Style_7_ch"/>
    <w:link w:val="Style_3"/>
  </w:style>
  <w:style w:styleId="Style_6" w:type="paragraph">
    <w:name w:val="Body Text"/>
    <w:basedOn w:val="Style_7"/>
    <w:link w:val="Style_6_ch"/>
    <w:pPr>
      <w:spacing w:after="120"/>
      <w:ind/>
    </w:pPr>
  </w:style>
  <w:style w:styleId="Style_6_ch" w:type="character">
    <w:name w:val="Body Text"/>
    <w:basedOn w:val="Style_7_ch"/>
    <w:link w:val="Style_6"/>
  </w:style>
  <w:style w:styleId="Style_5" w:type="paragraph">
    <w:name w:val="List Paragraph"/>
    <w:basedOn w:val="Style_7"/>
    <w:link w:val="Style_5_ch"/>
    <w:pPr>
      <w:ind w:firstLine="0" w:left="720"/>
      <w:contextualSpacing w:val="1"/>
    </w:pPr>
  </w:style>
  <w:style w:styleId="Style_5_ch" w:type="character">
    <w:name w:val="List Paragraph"/>
    <w:basedOn w:val="Style_7_ch"/>
    <w:link w:val="Style_5"/>
  </w:style>
  <w:style w:styleId="Style_34" w:type="paragraph">
    <w:name w:val="Balloon Text"/>
    <w:basedOn w:val="Style_7"/>
    <w:link w:val="Style_34_ch"/>
    <w:rPr>
      <w:rFonts w:ascii="Segoe UI" w:hAnsi="Segoe UI"/>
      <w:sz w:val="18"/>
    </w:rPr>
  </w:style>
  <w:style w:styleId="Style_34_ch" w:type="character">
    <w:name w:val="Balloon Text"/>
    <w:basedOn w:val="Style_7_ch"/>
    <w:link w:val="Style_34"/>
    <w:rPr>
      <w:rFonts w:ascii="Segoe UI" w:hAnsi="Segoe UI"/>
      <w:sz w:val="18"/>
    </w:rPr>
  </w:style>
  <w:style w:styleId="Style_35" w:type="paragraph">
    <w:name w:val="Текст1"/>
    <w:basedOn w:val="Style_7"/>
    <w:link w:val="Style_35_ch"/>
    <w:rPr>
      <w:rFonts w:ascii="Courier New" w:hAnsi="Courier New"/>
      <w:sz w:val="20"/>
    </w:rPr>
  </w:style>
  <w:style w:styleId="Style_35_ch" w:type="character">
    <w:name w:val="Текст1"/>
    <w:basedOn w:val="Style_7_ch"/>
    <w:link w:val="Style_35"/>
    <w:rPr>
      <w:rFonts w:ascii="Courier New" w:hAnsi="Courier New"/>
      <w:sz w:val="20"/>
    </w:rPr>
  </w:style>
  <w:style w:styleId="Style_36" w:type="paragraph">
    <w:name w:val="Subtitle"/>
    <w:next w:val="Style_7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7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7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basedOn w:val="Style_7"/>
    <w:next w:val="Style_7"/>
    <w:link w:val="Style_39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9_ch" w:type="character">
    <w:name w:val="heading 2"/>
    <w:basedOn w:val="Style_7_ch"/>
    <w:link w:val="Style_39"/>
    <w:rPr>
      <w:rFonts w:ascii="Arial" w:hAnsi="Arial"/>
      <w:b w:val="1"/>
      <w:i w:val="1"/>
      <w:sz w:val="28"/>
    </w:rPr>
  </w:style>
  <w:style w:styleId="Style_40" w:type="table">
    <w:name w:val="Table Grid"/>
    <w:basedOn w:val="Style_4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footer5.xml" Type="http://schemas.openxmlformats.org/officeDocument/2006/relationships/foot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2025-06-25T05:59:37Z</dcterms:modified>
</cp:coreProperties>
</file>