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5388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46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нормативов состава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сточных вод, отводимых </w:t>
      </w:r>
      <w:r>
        <w:rPr>
          <w:rFonts w:ascii="Times New Roman" w:hAnsi="Times New Roman"/>
          <w:sz w:val="28"/>
        </w:rPr>
        <w:t>в </w:t>
      </w:r>
      <w:r>
        <w:rPr>
          <w:rFonts w:ascii="Times New Roman" w:hAnsi="Times New Roman"/>
          <w:sz w:val="28"/>
        </w:rPr>
        <w:t>централизованную систему водоотведения города Магнитогорска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Федерального закона от 07.12.2011 № 416-ФЗ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водоснабжении и водоотведении», Правил холодного водоснабжения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водоотведения, утвержденных постановлением Правительства Российской Федерации от 29.07.2013 № 644, Правил осуществления контроля качества состава и свойств сточных вод, утвержденных постановлением Правительства Российской Федерации от 22.05.2020 №728, руководствуясь Уставом города Магнитогорска</w:t>
      </w:r>
      <w:r>
        <w:rPr>
          <w:rFonts w:ascii="Times New Roman" w:hAnsi="Times New Roman"/>
          <w:sz w:val="28"/>
        </w:rPr>
        <w:t>,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нормативы состава сточных вод, отводимых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централизованную систему водоотведения города Магнитогорска (приложение).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официального опубликования.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опубликовать настоящее постановление в средствах массовой информации.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заместителя главы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С.Н. Бердников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ectPr>
          <w:headerReference r:id="rId6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3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4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5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6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23.06.2025 № 5388-П</w:t>
      </w:r>
    </w:p>
    <w:p w14:paraId="27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Нормативы состава сточных вод, 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отводимых в централизованную систему водоотведения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Магнитогорска </w:t>
      </w:r>
    </w:p>
    <w:p w14:paraId="2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нормативами допустимых сбросов сточных вод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водный объект река Сухая Речка устанавливаются общие свойства сточных вод:</w:t>
      </w:r>
    </w:p>
    <w:p w14:paraId="2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лавающие примеси (вещества): на поверхности воды водных объектов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 в зоне антропогенного воздействия не должны обнаруживаться пленки нефтепродуктов, масел, жиров и скопления других примесей.</w:t>
      </w:r>
    </w:p>
    <w:p w14:paraId="2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емпература (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 xml:space="preserve">С): температура воды не должна повышаться под влиянием хозяйственной деятельности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>., при сбросе сточных вод) по сравнению с естественной температурой водного объекта более чем на 5°С, с общим повышением температуры не более чем до 20°С летом и 5°С зимой для водных объектов, где обитают холодолюбивые рыбы (лососевые и сиговые) и не более чем до 28°С летом и 8°С зимой в остальных случаях. В местах нерестилищ налима запрещается повышать температуру воды зимой более чем на 2 °C.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одородный показатель (рН): должен соответствовать фоновому значению показателя для воды водного объекта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значения.6,5-8,5.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астворенный кислород: Содержание растворенного кислорода не должно опускаться ниже 6,0 мг/</w:t>
      </w:r>
      <w:r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 xml:space="preserve"> 3 под влиянием хозяйственной деятельности (в том числе, при сбросе сточных вод).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растворенного кислорода в период ледостава не должно опускаться ниже 6,0 мг/дм3. В летний период от распадения льда до периода ледостава во всех водных объектах должен быть не менее 6,0 мг/дм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</w:t>
      </w:r>
    </w:p>
    <w:p w14:paraId="32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ухой остаток (минерализация) должен соответствовать установленному нормативу качества воды водного объекта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значения.</w:t>
      </w:r>
    </w:p>
    <w:p w14:paraId="3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оксичность воды: вода водных объектов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 в местах сброса сточных вод не должна оказывать острого токсического действия на тест-объекты.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Вода водного объекта в контрольном створе не должна оказывать хронического токсического действия на тест-объекты.</w:t>
      </w:r>
    </w:p>
    <w:p w14:paraId="3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Приему в централизованные системы водоотведения зоны очистных сооружений левого берега, расположенных по адресу: 455000, Челябинская область, г. Магнитогорск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очистные сооружения левого берега,</w:t>
      </w:r>
      <w:r>
        <w:rPr>
          <w:rFonts w:ascii="Times New Roman" w:hAnsi="Times New Roman"/>
          <w:color w:val="000000"/>
          <w:sz w:val="28"/>
        </w:rPr>
        <w:t xml:space="preserve"> подлежат сточные воды абонентов, если содержание в них загрязняющих веществ не </w:t>
      </w:r>
      <w:r>
        <w:rPr>
          <w:rFonts w:ascii="Times New Roman" w:hAnsi="Times New Roman"/>
          <w:color w:val="000000"/>
          <w:sz w:val="28"/>
        </w:rPr>
        <w:t>превышает установленных нормативов по составу сточных вод согласно таблице 1:</w:t>
      </w:r>
    </w:p>
    <w:p w14:paraId="35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аблица 1</w:t>
      </w:r>
    </w:p>
    <w:p w14:paraId="3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Нормативы состава сточных вод для абонентов, сбрасывающих сточные воды в централизованную систему водоотведения зоны очистных сооружений левого берега г. Магнитогорска</w:t>
      </w:r>
    </w:p>
    <w:tbl>
      <w:tblPr>
        <w:tblStyle w:val="Style_4"/>
        <w:tblW w:type="auto" w:w="0"/>
        <w:tblInd w:type="dxa" w:w="102"/>
        <w:tblLayout w:type="fixed"/>
      </w:tblPr>
      <w:tblGrid>
        <w:gridCol w:w="886"/>
        <w:gridCol w:w="4819"/>
        <w:gridCol w:w="3686"/>
      </w:tblGrid>
      <w:tr>
        <w:trPr>
          <w:trHeight w:hRule="atLeast" w:val="96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bookmarkEnd w:id="1"/>
            <w:r>
              <w:rPr>
                <w:rFonts w:ascii="Times New Roman" w:hAnsi="Times New Roman"/>
                <w:sz w:val="28"/>
              </w:rPr>
              <w:t>№ п/п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 </w:t>
            </w:r>
          </w:p>
        </w:tc>
        <w:tc>
          <w:tcPr>
            <w:tcW w:type="dxa" w:w="48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  <w:p w14:paraId="3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(загрязняющее вещество)</w:t>
            </w:r>
          </w:p>
        </w:tc>
        <w:tc>
          <w:tcPr>
            <w:tcW w:type="dxa" w:w="3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 w:firstLine="3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Допустимая концентрация загрязняющего вещества, </w:t>
            </w:r>
          </w:p>
          <w:p w14:paraId="3B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мг/дм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Взвешенные вещества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БПК 5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ХПК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Аммоний-ион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Фосфор фосфатов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Нефтепродукты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Фенолы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0,12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Сульфат- ион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105,73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Алюминий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0,04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Железо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2,70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Медь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0,10</w:t>
            </w:r>
          </w:p>
        </w:tc>
      </w:tr>
      <w:tr>
        <w:trPr>
          <w:trHeight w:hRule="atLeast" w:val="458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Цинк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0,10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Кадмий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0,01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Свинец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0,03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Фторид-ион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0,75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Стронций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0,73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Ртуть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0,00001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Натрий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120,00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Формальдегид (</w:t>
            </w:r>
            <w:r>
              <w:rPr>
                <w:rFonts w:ascii="Times New Roman" w:hAnsi="Times New Roman"/>
                <w:color w:val="000000"/>
                <w:sz w:val="28"/>
              </w:rPr>
              <w:t>метаналь</w:t>
            </w:r>
            <w:r>
              <w:rPr>
                <w:rFonts w:ascii="Times New Roman" w:hAnsi="Times New Roman"/>
                <w:color w:val="000000"/>
                <w:sz w:val="28"/>
              </w:rPr>
              <w:t>, муравьиный альдегид, формалин)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0,10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Хлороформ (</w:t>
            </w:r>
            <w:r>
              <w:rPr>
                <w:rFonts w:ascii="Times New Roman" w:hAnsi="Times New Roman"/>
                <w:color w:val="000000"/>
                <w:sz w:val="28"/>
              </w:rPr>
              <w:t>трихлорметан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0,05</w:t>
            </w:r>
          </w:p>
        </w:tc>
      </w:tr>
      <w:tr>
        <w:trPr>
          <w:trHeight w:hRule="atLeast" w:val="354"/>
        </w:trPr>
        <w:tc>
          <w:tcPr>
            <w:tcW w:type="dxa" w:w="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type="dxa" w:w="4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Кобальт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0,01</w:t>
            </w:r>
          </w:p>
        </w:tc>
      </w:tr>
    </w:tbl>
    <w:p w14:paraId="7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7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нормативами допустимых сбросов сточных вод в водный объект Магнитогорское водохранилище на реке Урал устанавливаются общие свойства сточных вод:</w:t>
      </w:r>
    </w:p>
    <w:p w14:paraId="7D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лавающие примеси (вещества): на поверхности воды водных объектов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 в зоне антропогенного воздействия не должны обнаруживаться пленки нефтепродуктов, масел, жиров и скопления других примесей. </w:t>
      </w:r>
    </w:p>
    <w:p w14:paraId="7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емпература (0 С): температура воды не должна повышаться под влиянием хозяйственной деятельности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., при сбросе сточных вод) по сравнению с естественной температурой водного объекта более чем на 5°С,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общим повышением температуры не более чем до 20°С летом и 5°С зимой для водных объектов, где обитают холодолюбивые рыбы (лососевые и сиговые) и не более чем до 28°С летом и 8°С зимой в остальных случаях.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местах нерестилищ налима запрещается повышать температуру воды зимой более чем на 2 °C. </w:t>
      </w:r>
    </w:p>
    <w:p w14:paraId="7F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одородный показатель (рН): должен соответствовать фоновому значению показателя для воды водного объекта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значения.6,5-8,5. </w:t>
      </w:r>
    </w:p>
    <w:p w14:paraId="80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астворенный кислород: Содержание растворенного кислорода не должно опускаться ниже 6,0 мг/</w:t>
      </w:r>
      <w:r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 xml:space="preserve"> 3 под влиянием хозяйственной деятельности (в том числе, при сбросе сточных вод.</w:t>
      </w:r>
    </w:p>
    <w:p w14:paraId="8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растворенного кислорода в период ледостава не должно опускаться ниже 6,0 мг/дм3. В летний период от распадения льда до периода ледостава во всех водных объектах должен быть не менее 6,0 мг/</w:t>
      </w:r>
      <w:r>
        <w:rPr>
          <w:rFonts w:ascii="Times New Roman" w:hAnsi="Times New Roman"/>
          <w:sz w:val="28"/>
        </w:rPr>
        <w:t>дм</w:t>
      </w:r>
      <w:r>
        <w:rPr>
          <w:rFonts w:ascii="Times New Roman" w:hAnsi="Times New Roman"/>
          <w:sz w:val="28"/>
        </w:rPr>
        <w:t xml:space="preserve"> 3.</w:t>
      </w:r>
    </w:p>
    <w:p w14:paraId="82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ухой остаток (минерализация) должен соответствовать установленному нормативу качества воды водного объекта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значения. </w:t>
      </w:r>
    </w:p>
    <w:p w14:paraId="83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оксичность воды: вода водных объектов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 в местах сброса сточных вод не должна оказывать острого токсического действия на тест-объекты. Вода водного объекта в контрольном створе не должна оказывать хронического токсического действия на тест-объекты</w:t>
      </w:r>
    </w:p>
    <w:p w14:paraId="8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Приему в централизованные системы </w:t>
      </w:r>
      <w:r>
        <w:rPr>
          <w:rFonts w:ascii="Times New Roman" w:hAnsi="Times New Roman"/>
          <w:sz w:val="28"/>
        </w:rPr>
        <w:t>водоотведения  зоны</w:t>
      </w:r>
      <w:r>
        <w:rPr>
          <w:rFonts w:ascii="Times New Roman" w:hAnsi="Times New Roman"/>
          <w:sz w:val="28"/>
        </w:rPr>
        <w:t xml:space="preserve"> очистных сооружений правого берега, расположенных по адресу: 455000, Челябинская область, г. Магнитогорск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очистные сооружения правого берега,</w:t>
      </w:r>
      <w:r>
        <w:rPr>
          <w:rFonts w:ascii="Times New Roman" w:hAnsi="Times New Roman"/>
          <w:color w:val="000000"/>
          <w:sz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2:</w:t>
      </w:r>
    </w:p>
    <w:p w14:paraId="85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8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состава сточных вод для абонентов, сбрасывающих сточные воды в централизованную систему водоотведения зоны очистных сооружений правого берега г. Магнитогорска</w:t>
      </w:r>
    </w:p>
    <w:tbl>
      <w:tblPr>
        <w:tblStyle w:val="Style_4"/>
        <w:tblW w:type="auto" w:w="0"/>
        <w:tblInd w:type="dxa" w:w="102"/>
        <w:tblLayout w:type="fixed"/>
      </w:tblPr>
      <w:tblGrid>
        <w:gridCol w:w="602"/>
        <w:gridCol w:w="4394"/>
        <w:gridCol w:w="4367"/>
      </w:tblGrid>
      <w:tr>
        <w:trPr>
          <w:trHeight w:hRule="atLeast" w:val="960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3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  <w:p w14:paraId="8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(загрязняющее вещество)</w:t>
            </w:r>
          </w:p>
        </w:tc>
        <w:tc>
          <w:tcPr>
            <w:tcW w:type="dxa" w:w="43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Допустимая концентрация загрязняющего вещества,</w:t>
            </w:r>
          </w:p>
          <w:p w14:paraId="8B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мг/дм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Взвешенные вещества</w:t>
            </w:r>
          </w:p>
        </w:tc>
        <w:tc>
          <w:tcPr>
            <w:tcW w:type="dxa" w:w="4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БПК 5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300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ХПК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Аммоний-ион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Фосфор фосфатов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Фенолы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0,08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Сульфат- ион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131,49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Алюминий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0,04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Железо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3,62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Медь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0,08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Цинк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0,17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Стронций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0,61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Ртуть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0,00001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Натрий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122,45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НСПАВ (Неионогенные синтетические поверхностно-активные вещества, ОП-10)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0,10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Молибден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0,001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Кобальт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0,01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Роданид-ион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0,09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Фторид-ион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0,75</w:t>
            </w:r>
          </w:p>
        </w:tc>
      </w:tr>
      <w:tr>
        <w:trPr>
          <w:trHeight w:hRule="atLeast" w:val="354"/>
        </w:trPr>
        <w:tc>
          <w:tcPr>
            <w:tcW w:type="dxa" w:w="6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Формальдегид (</w:t>
            </w:r>
            <w:r>
              <w:rPr>
                <w:rFonts w:ascii="Times New Roman" w:hAnsi="Times New Roman"/>
                <w:color w:val="000000"/>
                <w:sz w:val="28"/>
              </w:rPr>
              <w:t>метаналь</w:t>
            </w:r>
            <w:r>
              <w:rPr>
                <w:rFonts w:ascii="Times New Roman" w:hAnsi="Times New Roman"/>
                <w:color w:val="000000"/>
                <w:sz w:val="28"/>
              </w:rPr>
              <w:t>, муравьиный альдегид, формалин)</w:t>
            </w:r>
          </w:p>
        </w:tc>
        <w:tc>
          <w:tcPr>
            <w:tcW w:type="dxa" w:w="43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0,05</w:t>
            </w:r>
          </w:p>
        </w:tc>
      </w:tr>
    </w:tbl>
    <w:p w14:paraId="C8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sectPr>
      <w:headerReference r:id="rId5" w:type="default"/>
      <w:headerReference r:id="rId3" w:type="first"/>
      <w:footerReference r:id="rId4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Вр-2135584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Вр-2135584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2025-06-24T06:26:44Z</dcterms:modified>
</cp:coreProperties>
</file>