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14:paraId="06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</w:t>
      </w:r>
      <w:r>
        <w:rPr>
          <w:rFonts w:ascii="Times New Roman" w:hAnsi="Times New Roman"/>
        </w:rPr>
        <w:t xml:space="preserve"> Магнитогорска </w:t>
      </w:r>
    </w:p>
    <w:p w14:paraId="08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12.05.2025 № 4120-П</w:t>
      </w:r>
    </w:p>
    <w:p w14:paraId="09000000">
      <w:pPr>
        <w:pStyle w:val="Style_2"/>
        <w:ind w:firstLine="10773" w:left="0"/>
        <w:rPr>
          <w:rFonts w:ascii="Times New Roman" w:hAnsi="Times New Roman"/>
        </w:rPr>
      </w:pPr>
    </w:p>
    <w:p w14:paraId="0A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4</w:t>
      </w:r>
    </w:p>
    <w:p w14:paraId="0B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«Энергосбережение и повышение </w:t>
      </w:r>
    </w:p>
    <w:p w14:paraId="0D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энергетической эффективности </w:t>
      </w:r>
    </w:p>
    <w:p w14:paraId="0E000000">
      <w:pPr>
        <w:widowControl w:val="0"/>
        <w:spacing w:after="0" w:line="240" w:lineRule="auto"/>
        <w:ind w:firstLine="0" w:left="1077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городе Магнитогорске»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</w:t>
      </w:r>
    </w:p>
    <w:p w14:paraId="0F000000">
      <w:pPr>
        <w:spacing w:after="0" w:line="240" w:lineRule="auto"/>
        <w:ind/>
        <w:rPr>
          <w:sz w:val="10"/>
        </w:rPr>
      </w:pPr>
      <w:bookmarkStart w:id="1" w:name="_GoBack"/>
      <w:bookmarkEnd w:id="1"/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Методика расчета и источники информации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о значениях целевых показателей муниципальной программы,</w:t>
      </w:r>
    </w:p>
    <w:p w14:paraId="12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показателей структурных элементов</w:t>
      </w:r>
    </w:p>
    <w:p w14:paraId="13000000">
      <w:pPr>
        <w:widowControl w:val="0"/>
        <w:spacing w:after="108" w:before="108" w:line="240" w:lineRule="auto"/>
        <w:ind/>
        <w:jc w:val="center"/>
        <w:outlineLvl w:val="0"/>
        <w:rPr>
          <w:rFonts w:ascii="Times New Roman" w:hAnsi="Times New Roman"/>
          <w:color w:val="26282F"/>
          <w:sz w:val="24"/>
        </w:rPr>
      </w:pPr>
      <w:r>
        <w:rPr>
          <w:rFonts w:ascii="Times New Roman CYR" w:hAnsi="Times New Roman CYR"/>
          <w:b w:val="1"/>
          <w:color w:val="26282F"/>
          <w:sz w:val="24"/>
        </w:rPr>
        <w:t>«</w:t>
      </w:r>
      <w:r>
        <w:rPr>
          <w:rFonts w:ascii="Times New Roman" w:hAnsi="Times New Roman"/>
          <w:color w:val="26282F"/>
          <w:sz w:val="24"/>
        </w:rPr>
        <w:t xml:space="preserve">Энергосбережение и повышение энергетической эффективности в городе Магнитогорске» </w:t>
      </w:r>
    </w:p>
    <w:p w14:paraId="14000000">
      <w:pPr>
        <w:widowControl w:val="0"/>
        <w:spacing w:after="108" w:before="108" w:line="240" w:lineRule="auto"/>
        <w:ind/>
        <w:jc w:val="center"/>
        <w:outlineLvl w:val="0"/>
        <w:rPr>
          <w:rFonts w:ascii="Times New Roman CYR" w:hAnsi="Times New Roman CYR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на 2025-2030 годы</w:t>
      </w:r>
    </w:p>
    <w:p w14:paraId="15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Ind w:type="dxa" w:w="-5"/>
        <w:tblLayout w:type="fixed"/>
      </w:tblPr>
      <w:tblGrid>
        <w:gridCol w:w="729"/>
        <w:gridCol w:w="3100"/>
        <w:gridCol w:w="1274"/>
        <w:gridCol w:w="6663"/>
        <w:gridCol w:w="2552"/>
      </w:tblGrid>
      <w:tr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 </w:t>
            </w:r>
          </w:p>
          <w:p w14:paraId="17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Наименование показателя, </w:t>
            </w:r>
          </w:p>
          <w:p w14:paraId="19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 измерения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Динамика показателя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Расчет целевого показателя 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</w:tr>
      <w:tr>
        <w:tc>
          <w:tcPr>
            <w:tcW w:type="dxa" w:w="1431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Муниципальная программа «Энергосбережение и повышение энергетической эффективности в городе Магнитогорске» на 2025-2030 годы</w:t>
            </w:r>
          </w:p>
        </w:tc>
      </w:tr>
      <w:tr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  <w:t>Доля потерь электрической энергии при ее передаче в общем объеме энергоресурсов, (П %)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mes New Roman" w:hAnsi="Times New Roman"/>
              </w:rPr>
              <w:t>«меньше – лучше»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nos" w:hAnsi="Tinos"/>
                <w:color w:val="000000"/>
              </w:rPr>
            </w:pPr>
            <w:bookmarkStart w:id="2" w:name="p_1672"/>
            <w:bookmarkEnd w:id="2"/>
            <w:r>
              <w:rPr>
                <w:rFonts w:ascii="Tinos" w:hAnsi="Tinos"/>
                <w:color w:val="000000"/>
              </w:rPr>
              <w:t xml:space="preserve">Процент потерь электрической энергии </w:t>
            </w:r>
            <w:r>
              <w:rPr>
                <w:rFonts w:ascii="Tinos" w:hAnsi="Tinos"/>
                <w:color w:val="000000"/>
              </w:rPr>
              <w:t>при её передачи</w:t>
            </w:r>
            <w:r>
              <w:rPr>
                <w:rFonts w:ascii="Tinos" w:hAnsi="Tinos"/>
                <w:color w:val="000000"/>
              </w:rPr>
              <w:t xml:space="preserve"> по сетям (П %) рассчитывается как отношение разницы между объемом эл. энергии, поступившей в эл. сети АО "</w:t>
            </w:r>
            <w:r>
              <w:rPr>
                <w:rFonts w:ascii="Tinos" w:hAnsi="Tinos"/>
                <w:color w:val="000000"/>
              </w:rPr>
              <w:t>Горэлектросеть</w:t>
            </w:r>
            <w:r>
              <w:rPr>
                <w:rFonts w:ascii="Tinos" w:hAnsi="Tinos"/>
                <w:color w:val="000000"/>
              </w:rPr>
              <w:t>" (</w:t>
            </w:r>
            <w:r>
              <w:rPr>
                <w:rFonts w:ascii="Tinos" w:hAnsi="Tinos"/>
                <w:color w:val="000000"/>
              </w:rPr>
              <w:t>Wпост</w:t>
            </w:r>
            <w:r>
              <w:rPr>
                <w:rFonts w:ascii="Tinos" w:hAnsi="Tinos"/>
                <w:color w:val="000000"/>
              </w:rPr>
              <w:t>) и объемом эл. энергии, отпущенной из сетей АО "ГЭС" потребителям - абонентам (</w:t>
            </w:r>
            <w:r>
              <w:rPr>
                <w:rFonts w:ascii="Tinos" w:hAnsi="Tinos"/>
                <w:color w:val="000000"/>
              </w:rPr>
              <w:t>Wотп</w:t>
            </w:r>
            <w:r>
              <w:rPr>
                <w:rFonts w:ascii="Tinos" w:hAnsi="Tinos"/>
                <w:color w:val="000000"/>
              </w:rPr>
              <w:t>), к объему эл. энергии, поступившей в эл. сети АО "</w:t>
            </w:r>
            <w:r>
              <w:rPr>
                <w:rFonts w:ascii="Tinos" w:hAnsi="Tinos"/>
                <w:color w:val="000000"/>
              </w:rPr>
              <w:t>Горэлектросеть</w:t>
            </w:r>
            <w:r>
              <w:rPr>
                <w:rFonts w:ascii="Tinos" w:hAnsi="Tinos"/>
                <w:color w:val="000000"/>
              </w:rPr>
              <w:t>" (АО "ГЭС").</w:t>
            </w:r>
          </w:p>
          <w:p w14:paraId="27000000">
            <w:pPr>
              <w:pStyle w:val="Style_6"/>
              <w:widowControl w:val="0"/>
              <w:spacing w:after="0"/>
              <w:ind/>
              <w:rPr>
                <w:rFonts w:ascii="Tinos" w:hAnsi="Tinos"/>
                <w:color w:val="000000"/>
              </w:rPr>
            </w:pPr>
            <w:bookmarkStart w:id="3" w:name="p_1673"/>
            <w:bookmarkEnd w:id="3"/>
            <w:r>
              <w:rPr>
                <w:rFonts w:ascii="Tinos" w:hAnsi="Tinos"/>
                <w:color w:val="000000"/>
              </w:rPr>
              <w:t>П % = (</w:t>
            </w:r>
            <w:r>
              <w:rPr>
                <w:rFonts w:ascii="Tinos" w:hAnsi="Tinos"/>
                <w:color w:val="000000"/>
              </w:rPr>
              <w:t>Wпост</w:t>
            </w:r>
            <w:r>
              <w:rPr>
                <w:rFonts w:ascii="Tinos" w:hAnsi="Tinos"/>
                <w:color w:val="000000"/>
              </w:rPr>
              <w:t xml:space="preserve">- </w:t>
            </w:r>
            <w:r>
              <w:rPr>
                <w:rFonts w:ascii="Tinos" w:hAnsi="Tinos"/>
                <w:color w:val="000000"/>
              </w:rPr>
              <w:t>Wотп</w:t>
            </w:r>
            <w:r>
              <w:rPr>
                <w:rFonts w:ascii="Tinos" w:hAnsi="Tinos"/>
                <w:color w:val="000000"/>
              </w:rPr>
              <w:t xml:space="preserve">)/ </w:t>
            </w:r>
            <w:r>
              <w:rPr>
                <w:rFonts w:ascii="Tinos" w:hAnsi="Tinos"/>
                <w:color w:val="000000"/>
              </w:rPr>
              <w:t>Wпост</w:t>
            </w:r>
            <w:r>
              <w:rPr>
                <w:rFonts w:ascii="Tinos" w:hAnsi="Tinos"/>
                <w:color w:val="000000"/>
              </w:rPr>
              <w:t>*100, где:</w:t>
            </w:r>
          </w:p>
          <w:p w14:paraId="28000000">
            <w:pPr>
              <w:pStyle w:val="Style_6"/>
              <w:widowControl w:val="0"/>
              <w:spacing w:after="0"/>
              <w:ind/>
              <w:rPr>
                <w:rFonts w:ascii="Tinos" w:hAnsi="Tinos"/>
                <w:color w:val="000000"/>
              </w:rPr>
            </w:pPr>
            <w:bookmarkStart w:id="4" w:name="p_1674"/>
            <w:bookmarkEnd w:id="4"/>
            <w:r>
              <w:rPr>
                <w:rFonts w:ascii="Tinos" w:hAnsi="Tinos"/>
                <w:color w:val="000000"/>
              </w:rPr>
              <w:t>Wпост</w:t>
            </w:r>
            <w:r>
              <w:rPr>
                <w:rFonts w:ascii="Tinos" w:hAnsi="Tinos"/>
                <w:color w:val="000000"/>
              </w:rPr>
              <w:t xml:space="preserve"> - объем эл. энергии, поступившей в эл. сети АО "ГЭС";</w:t>
            </w:r>
          </w:p>
          <w:p w14:paraId="29000000">
            <w:pPr>
              <w:pStyle w:val="Style_6"/>
              <w:widowControl w:val="0"/>
              <w:spacing w:after="0"/>
              <w:ind/>
              <w:rPr>
                <w:rFonts w:ascii="Tinos" w:hAnsi="Tinos"/>
                <w:color w:val="000000"/>
              </w:rPr>
            </w:pPr>
            <w:bookmarkStart w:id="5" w:name="p_1675"/>
            <w:bookmarkEnd w:id="5"/>
            <w:r>
              <w:rPr>
                <w:rFonts w:ascii="Tinos" w:hAnsi="Tinos"/>
                <w:color w:val="000000"/>
              </w:rPr>
              <w:t>Wотп</w:t>
            </w:r>
            <w:r>
              <w:rPr>
                <w:rFonts w:ascii="Tinos" w:hAnsi="Tinos"/>
                <w:color w:val="000000"/>
              </w:rPr>
              <w:t xml:space="preserve"> - объемом отпуска эл. энергии из сети АО "ГЭС" (данные на основании письма АО «ГЭС»).</w:t>
            </w:r>
          </w:p>
          <w:p w14:paraId="2A000000">
            <w:pPr>
              <w:pStyle w:val="Style_6"/>
              <w:widowControl w:val="0"/>
              <w:spacing w:after="0"/>
              <w:ind/>
              <w:rPr>
                <w:rFonts w:ascii="Tinos" w:hAnsi="Tinos"/>
                <w:color w:val="000000"/>
              </w:rPr>
            </w:pPr>
            <w:bookmarkStart w:id="6" w:name="p_1676"/>
            <w:bookmarkEnd w:id="6"/>
            <w:r>
              <w:rPr>
                <w:rFonts w:ascii="Tinos" w:hAnsi="Tinos"/>
                <w:color w:val="000000"/>
              </w:rPr>
              <w:t>Фактический объем эл. энергии, поступившей в эл. сети АО "ГЭС", определяется суммой показаний расчётных приборов учёта эл. энергии по всем точкам поставок (данные гарантирующего поставщика эл. энергии - ООО "МЭК").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Расчеты специалистов АО «</w:t>
            </w:r>
            <w:r>
              <w:rPr>
                <w:rFonts w:ascii="Times New Roman" w:hAnsi="Times New Roman"/>
                <w:color w:val="000000"/>
              </w:rPr>
              <w:t>Горэлектросеть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Доля экономии электроэнергии на уличное освещение, %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«больше-лучше»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П% = (</w:t>
            </w:r>
            <w:r>
              <w:rPr>
                <w:rFonts w:ascii="Times New Roman" w:hAnsi="Times New Roman"/>
              </w:rPr>
              <w:t>Wб.п</w:t>
            </w:r>
            <w:r>
              <w:rPr>
                <w:rFonts w:ascii="Times New Roman" w:hAnsi="Times New Roman"/>
              </w:rPr>
              <w:t xml:space="preserve">.- </w:t>
            </w:r>
            <w:r>
              <w:rPr>
                <w:rFonts w:ascii="Times New Roman" w:hAnsi="Times New Roman"/>
              </w:rPr>
              <w:t>Wотч.п</w:t>
            </w:r>
            <w:r>
              <w:rPr>
                <w:rFonts w:ascii="Times New Roman" w:hAnsi="Times New Roman"/>
              </w:rPr>
              <w:t xml:space="preserve">)/ </w:t>
            </w:r>
            <w:r>
              <w:rPr>
                <w:rFonts w:ascii="Times New Roman" w:hAnsi="Times New Roman"/>
              </w:rPr>
              <w:t>Wб.п</w:t>
            </w:r>
            <w:r>
              <w:rPr>
                <w:rFonts w:ascii="Times New Roman" w:hAnsi="Times New Roman"/>
              </w:rPr>
              <w:t>.*</w:t>
            </w:r>
            <w:r>
              <w:rPr>
                <w:rFonts w:ascii="Times New Roman" w:hAnsi="Times New Roman"/>
              </w:rPr>
              <w:t>100,  где</w:t>
            </w:r>
            <w:r>
              <w:rPr>
                <w:rFonts w:ascii="Times New Roman" w:hAnsi="Times New Roman"/>
              </w:rPr>
              <w:t xml:space="preserve">:   </w:t>
            </w:r>
          </w:p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Wб.п</w:t>
            </w:r>
            <w:r>
              <w:rPr>
                <w:rFonts w:ascii="Times New Roman" w:hAnsi="Times New Roman"/>
              </w:rPr>
              <w:t xml:space="preserve">. – экономия эл. энергии за предыдущий период/базовый показатель; </w:t>
            </w:r>
          </w:p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Wотч.п</w:t>
            </w:r>
            <w:r>
              <w:rPr>
                <w:rFonts w:ascii="Times New Roman" w:hAnsi="Times New Roman"/>
              </w:rPr>
              <w:t xml:space="preserve"> - экономия эл. энергии за отчетный период.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Информация от подрядной организации ООО «АДС Энергия», информация от ООО «МЭК», информация от АО «</w:t>
            </w:r>
            <w:r>
              <w:rPr>
                <w:rFonts w:ascii="Times New Roman" w:hAnsi="Times New Roman"/>
                <w:sz w:val="22"/>
              </w:rPr>
              <w:t>Горэлектросеть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Наличие разработанной (актуализированной) схемы теплоснабжения города, ед. 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«нет»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t>Σ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ni</w:t>
            </w:r>
            <w:r>
              <w:rPr>
                <w:rFonts w:ascii="Times New Roman" w:hAnsi="Times New Roman"/>
                <w:color w:val="000000"/>
              </w:rPr>
              <w:t>, где</w:t>
            </w:r>
          </w:p>
          <w:p w14:paraId="37000000">
            <w:pPr>
              <w:pStyle w:val="Style_4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ni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– количество разработанной (актуализированной) схемы теплоснабжения города, ед.</w:t>
            </w:r>
          </w:p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(Сайт администрации города Магнитогорска https://www.magnitogorsk.ru/content/gorodskoe-khozyaystvo/upravlenie-inzhenernogo-obespecheniya-transporta-i-svyazi/informatsiya-13/inzhenernaya-infrastruktura/skhemy-vodo-i-teplosnabzheniya)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Информация МП трест «Теплофикация»</w:t>
            </w:r>
          </w:p>
        </w:tc>
      </w:tr>
      <w:tr>
        <w:tc>
          <w:tcPr>
            <w:tcW w:type="dxa" w:w="72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589"/>
            <w:gridSpan w:val="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Направление 1 «Повышение энергетической эффективности систем коммунальной инфраструктуры в городе Магнитогорске»</w:t>
            </w:r>
          </w:p>
        </w:tc>
      </w:tr>
      <w:tr>
        <w:tc>
          <w:tcPr>
            <w:tcW w:type="dxa" w:w="72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589"/>
            <w:gridSpan w:val="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0"/>
              <w:ind/>
              <w:rPr>
                <w:rFonts w:ascii="Tinos" w:hAnsi="Tinos"/>
              </w:rPr>
            </w:pPr>
            <w:r>
              <w:rPr>
                <w:rFonts w:ascii="Tinos" w:hAnsi="Tinos"/>
              </w:rPr>
              <w:t>Комплекс процессных мероприятий «Энергосбережение и повышение энергетической эффективности объектов коммунального хозяйства и систем инженерной инфраструктуры в городе Магнитогорске»</w:t>
            </w:r>
          </w:p>
        </w:tc>
      </w:tr>
      <w:tr>
        <w:tc>
          <w:tcPr>
            <w:tcW w:type="dxa" w:w="72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10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widowControl w:val="0"/>
              <w:ind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u w:color="000000"/>
              </w:rPr>
              <w:t xml:space="preserve">Снижение объема потребления электроэнергии на уличное освещение при внедрении </w:t>
            </w:r>
            <w:r>
              <w:rPr>
                <w:rFonts w:ascii="Tinos" w:hAnsi="Tinos"/>
                <w:color w:val="000000"/>
                <w:u w:color="000000"/>
              </w:rPr>
              <w:t>энергоэффективных</w:t>
            </w:r>
            <w:r>
              <w:rPr>
                <w:rFonts w:ascii="Tinos" w:hAnsi="Tinos"/>
                <w:color w:val="000000"/>
                <w:u w:color="000000"/>
              </w:rPr>
              <w:t xml:space="preserve"> мероприятий, 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тыс. </w:t>
            </w:r>
            <w:r>
              <w:rPr>
                <w:rFonts w:ascii="Times New Roman" w:hAnsi="Times New Roman"/>
                <w:color w:val="000000"/>
                <w:u w:color="000000"/>
              </w:rPr>
              <w:t>кВт.ч</w:t>
            </w:r>
          </w:p>
        </w:tc>
        <w:tc>
          <w:tcPr>
            <w:tcW w:type="dxa" w:w="127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mes New Roman" w:hAnsi="Times New Roman"/>
              </w:rPr>
              <w:t>«больше – лучше»</w:t>
            </w:r>
          </w:p>
        </w:tc>
        <w:tc>
          <w:tcPr>
            <w:tcW w:type="dxa" w:w="666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nos" w:hAnsi="Tinos"/>
              </w:rPr>
            </w:pPr>
            <w:bookmarkStart w:id="7" w:name="p_31570"/>
            <w:bookmarkEnd w:id="7"/>
            <w:r>
              <w:rPr>
                <w:rFonts w:ascii="Tinos" w:hAnsi="Tinos"/>
                <w:color w:val="000000"/>
              </w:rPr>
              <w:t xml:space="preserve">Экономия электроэнергии в натуральном эквиваленте за год, тыс. </w:t>
            </w:r>
            <w:r>
              <w:rPr>
                <w:rFonts w:ascii="Tinos" w:hAnsi="Tinos"/>
                <w:color w:val="000000"/>
              </w:rPr>
              <w:t>кВт.ч</w:t>
            </w:r>
            <w:r>
              <w:rPr>
                <w:rFonts w:ascii="Tinos" w:hAnsi="Tinos"/>
                <w:color w:val="000000"/>
              </w:rPr>
              <w:t>:</w:t>
            </w:r>
          </w:p>
          <w:p w14:paraId="42000000">
            <w:pPr>
              <w:pStyle w:val="Style_6"/>
              <w:widowControl w:val="0"/>
              <w:spacing w:after="0"/>
              <w:ind/>
              <w:rPr>
                <w:rFonts w:ascii="Tinos" w:hAnsi="Tinos"/>
              </w:rPr>
            </w:pPr>
            <w:bookmarkStart w:id="8" w:name="p_31571"/>
            <w:bookmarkEnd w:id="8"/>
            <w:r>
              <w:rPr>
                <w:rFonts w:ascii="Tinos" w:hAnsi="Tinos"/>
                <w:color w:val="000000"/>
              </w:rPr>
              <w:t>Эн = ((</w:t>
            </w:r>
            <w:r>
              <w:rPr>
                <w:rFonts w:ascii="Tinos" w:hAnsi="Tinos"/>
                <w:color w:val="000000"/>
              </w:rPr>
              <w:t>Рдрл</w:t>
            </w:r>
            <w:r>
              <w:rPr>
                <w:rFonts w:ascii="Tinos" w:hAnsi="Tinos"/>
                <w:color w:val="000000"/>
              </w:rPr>
              <w:t xml:space="preserve"> - </w:t>
            </w:r>
            <w:r>
              <w:rPr>
                <w:rFonts w:ascii="Tinos" w:hAnsi="Tinos"/>
                <w:color w:val="000000"/>
              </w:rPr>
              <w:t>Рднат</w:t>
            </w:r>
            <w:r>
              <w:rPr>
                <w:rFonts w:ascii="Tinos" w:hAnsi="Tinos"/>
                <w:color w:val="000000"/>
              </w:rPr>
              <w:t xml:space="preserve">) /1000) х n х </w:t>
            </w:r>
            <w:r>
              <w:rPr>
                <w:rFonts w:ascii="Tinos" w:hAnsi="Tinos"/>
                <w:color w:val="000000"/>
              </w:rPr>
              <w:t>Nч</w:t>
            </w:r>
            <w:r>
              <w:rPr>
                <w:rFonts w:ascii="Tinos" w:hAnsi="Tinos"/>
                <w:color w:val="000000"/>
              </w:rPr>
              <w:t xml:space="preserve"> х Кс, где:</w:t>
            </w:r>
          </w:p>
          <w:p w14:paraId="43000000">
            <w:pPr>
              <w:pStyle w:val="Style_6"/>
              <w:widowControl w:val="0"/>
              <w:spacing w:after="0"/>
              <w:ind/>
              <w:rPr>
                <w:rFonts w:ascii="Tinos" w:hAnsi="Tinos"/>
              </w:rPr>
            </w:pPr>
            <w:bookmarkStart w:id="9" w:name="p_31572"/>
            <w:bookmarkEnd w:id="9"/>
            <w:r>
              <w:rPr>
                <w:rFonts w:ascii="Tinos" w:hAnsi="Tinos"/>
                <w:color w:val="000000"/>
              </w:rPr>
              <w:t>Рдрл</w:t>
            </w:r>
            <w:r>
              <w:rPr>
                <w:rFonts w:ascii="Tinos" w:hAnsi="Tinos"/>
                <w:color w:val="000000"/>
              </w:rPr>
              <w:t xml:space="preserve"> - установленная мощность заменяемой ртутной лампы, кВт;</w:t>
            </w:r>
          </w:p>
          <w:p w14:paraId="44000000">
            <w:pPr>
              <w:pStyle w:val="Style_6"/>
              <w:widowControl w:val="0"/>
              <w:spacing w:after="0"/>
              <w:ind/>
              <w:rPr>
                <w:rFonts w:ascii="Tinos" w:hAnsi="Tinos"/>
              </w:rPr>
            </w:pPr>
            <w:bookmarkStart w:id="10" w:name="p_31573"/>
            <w:bookmarkEnd w:id="10"/>
            <w:r>
              <w:rPr>
                <w:rFonts w:ascii="Tinos" w:hAnsi="Tinos"/>
                <w:color w:val="000000"/>
              </w:rPr>
              <w:t>Рднат</w:t>
            </w:r>
            <w:r>
              <w:rPr>
                <w:rFonts w:ascii="Tinos" w:hAnsi="Tinos"/>
                <w:color w:val="000000"/>
              </w:rPr>
              <w:t xml:space="preserve"> - установленная мощность новой натриевой (</w:t>
            </w:r>
            <w:r>
              <w:rPr>
                <w:rFonts w:ascii="Tinos" w:hAnsi="Tinos"/>
                <w:color w:val="000000"/>
              </w:rPr>
              <w:t>энергоэффективной</w:t>
            </w:r>
            <w:r>
              <w:rPr>
                <w:rFonts w:ascii="Tinos" w:hAnsi="Tinos"/>
                <w:color w:val="000000"/>
              </w:rPr>
              <w:t>) лампы, кВт;</w:t>
            </w:r>
          </w:p>
          <w:p w14:paraId="45000000">
            <w:pPr>
              <w:pStyle w:val="Style_6"/>
              <w:widowControl w:val="0"/>
              <w:spacing w:after="0"/>
              <w:ind/>
              <w:rPr>
                <w:rFonts w:ascii="Tinos" w:hAnsi="Tinos"/>
              </w:rPr>
            </w:pPr>
            <w:bookmarkStart w:id="11" w:name="p_31574"/>
            <w:bookmarkEnd w:id="11"/>
            <w:r>
              <w:rPr>
                <w:rFonts w:ascii="Tinos" w:hAnsi="Tinos"/>
                <w:color w:val="000000"/>
              </w:rPr>
              <w:t>n - шт.;</w:t>
            </w:r>
          </w:p>
          <w:p w14:paraId="46000000">
            <w:pPr>
              <w:pStyle w:val="Style_6"/>
              <w:widowControl w:val="0"/>
              <w:spacing w:after="0"/>
              <w:ind/>
              <w:rPr>
                <w:rFonts w:ascii="Tinos" w:hAnsi="Tinos"/>
              </w:rPr>
            </w:pPr>
            <w:bookmarkStart w:id="12" w:name="p_31575"/>
            <w:bookmarkEnd w:id="12"/>
            <w:r>
              <w:rPr>
                <w:rFonts w:ascii="Tinos" w:hAnsi="Tinos"/>
                <w:color w:val="000000"/>
              </w:rPr>
              <w:t>Nч</w:t>
            </w:r>
            <w:r>
              <w:rPr>
                <w:rFonts w:ascii="Tinos" w:hAnsi="Tinos"/>
                <w:color w:val="000000"/>
              </w:rPr>
              <w:t xml:space="preserve"> - средняя продолжительность часов работы ламп в году, час.;</w:t>
            </w:r>
          </w:p>
          <w:p w14:paraId="47000000">
            <w:pPr>
              <w:pStyle w:val="Style_6"/>
              <w:widowControl w:val="0"/>
              <w:spacing w:after="0"/>
              <w:ind/>
              <w:rPr>
                <w:highlight w:val="yellow"/>
              </w:rPr>
            </w:pPr>
            <w:bookmarkStart w:id="13" w:name="p_31576"/>
            <w:bookmarkEnd w:id="13"/>
            <w:r>
              <w:rPr>
                <w:rFonts w:ascii="Tinos" w:hAnsi="Tinos"/>
                <w:color w:val="000000"/>
              </w:rPr>
              <w:t xml:space="preserve">Кс - коэффициент спроса </w:t>
            </w:r>
            <w:bookmarkStart w:id="14" w:name="p_31577"/>
            <w:bookmarkEnd w:id="14"/>
            <w:r>
              <w:rPr>
                <w:rFonts w:ascii="Tinos" w:hAnsi="Tinos"/>
                <w:color w:val="000000"/>
              </w:rPr>
              <w:t>(</w:t>
            </w:r>
            <w:r>
              <w:rPr>
                <w:rFonts w:ascii="Tinos" w:hAnsi="Tinos"/>
                <w:color w:val="000000"/>
              </w:rPr>
              <w:t>коэффециент</w:t>
            </w:r>
            <w:r>
              <w:rPr>
                <w:rFonts w:ascii="Tinos" w:hAnsi="Tinos"/>
                <w:color w:val="000000"/>
              </w:rPr>
              <w:t xml:space="preserve"> использования при расчете мероприятия по замене ламп наружного освещения на более </w:t>
            </w:r>
            <w:r>
              <w:rPr>
                <w:rFonts w:ascii="Tinos" w:hAnsi="Tinos"/>
                <w:color w:val="000000"/>
              </w:rPr>
              <w:t>энергоэффективные</w:t>
            </w:r>
            <w:r>
              <w:rPr>
                <w:rFonts w:ascii="Tinos" w:hAnsi="Tinos"/>
                <w:color w:val="000000"/>
              </w:rPr>
              <w:t xml:space="preserve"> принять его равным 1.) </w:t>
            </w:r>
          </w:p>
        </w:tc>
        <w:tc>
          <w:tcPr>
            <w:tcW w:type="dxa" w:w="2552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Информация от подрядной организации ООО «АДС Энергия», информация от ООО «МЭК», информация от АО «</w:t>
            </w:r>
            <w:r>
              <w:rPr>
                <w:rFonts w:ascii="Times New Roman" w:hAnsi="Times New Roman"/>
                <w:sz w:val="22"/>
              </w:rPr>
              <w:t>Горэлектросеть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72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0"/>
              <w:ind/>
              <w:rPr>
                <w:rFonts w:ascii="Tinos" w:hAnsi="Tinos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Потребление электрической энергии с учетом энергосберегающих мероприятий</w:t>
            </w:r>
          </w:p>
        </w:tc>
        <w:tc>
          <w:tcPr>
            <w:tcW w:type="dxa" w:w="1274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«больше – лучше»</w:t>
            </w:r>
          </w:p>
        </w:tc>
        <w:tc>
          <w:tcPr>
            <w:tcW w:type="dxa" w:w="666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  <w:t>Потребление электрической энергии (</w:t>
            </w:r>
            <w:r>
              <w:rPr>
                <w:rFonts w:ascii="Tinos" w:hAnsi="Tinos"/>
                <w:color w:val="000000"/>
              </w:rPr>
              <w:t>Wотп</w:t>
            </w:r>
            <w:r>
              <w:rPr>
                <w:rFonts w:ascii="Tinos" w:hAnsi="Tinos"/>
                <w:color w:val="000000"/>
              </w:rPr>
              <w:t>) – это объём электрической энергии, отпущенной их сетей АО «ГЭС», потребителям (абонентам), фактическое значение которой определяется по предъявленным абонентам счетам за расчетный период (данные сбытовой организации, гарантирующего поставщика эл. энергии - ООО «МЭК»).</w:t>
            </w:r>
          </w:p>
        </w:tc>
        <w:tc>
          <w:tcPr>
            <w:tcW w:type="dxa" w:w="255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– из Постановления Министерства тарифного регулирования и энергетики Челябинской области (ежегодно).</w:t>
            </w:r>
          </w:p>
          <w:p w14:paraId="4E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Фактические значения </w:t>
            </w:r>
            <w:r>
              <w:rPr>
                <w:rFonts w:ascii="Times New Roman" w:hAnsi="Times New Roman"/>
                <w:sz w:val="22"/>
              </w:rPr>
              <w:t>– от гарантирующего поставщика эл. энергии - ООО «МЭК».</w:t>
            </w:r>
          </w:p>
        </w:tc>
      </w:tr>
      <w:tr>
        <w:tc>
          <w:tcPr>
            <w:tcW w:type="dxa" w:w="72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3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0"/>
              <w:ind/>
              <w:rPr>
                <w:rFonts w:ascii="Tinos" w:hAnsi="Tinos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Суммарные потери электрической энергии при ее передаче по сетям с учетом энергосберегающей составляющей</w:t>
            </w:r>
          </w:p>
        </w:tc>
        <w:tc>
          <w:tcPr>
            <w:tcW w:type="dxa" w:w="1274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«меньше</w:t>
            </w:r>
            <w:r>
              <w:rPr>
                <w:rFonts w:ascii="Times New Roman" w:hAnsi="Times New Roman"/>
              </w:rPr>
              <w:t xml:space="preserve"> – лучше»</w:t>
            </w:r>
          </w:p>
        </w:tc>
        <w:tc>
          <w:tcPr>
            <w:tcW w:type="dxa" w:w="666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Объем</w:t>
            </w:r>
            <w:r>
              <w:rPr>
                <w:rFonts w:ascii="Tinos" w:hAnsi="Tinos"/>
                <w:color w:val="000000"/>
              </w:rPr>
              <w:t xml:space="preserve"> потерь электрической энергии </w:t>
            </w:r>
            <w:r>
              <w:rPr>
                <w:rFonts w:ascii="Tinos" w:hAnsi="Tinos"/>
                <w:color w:val="000000"/>
              </w:rPr>
              <w:t>при её передачи</w:t>
            </w:r>
            <w:r>
              <w:rPr>
                <w:rFonts w:ascii="Tinos" w:hAnsi="Tinos"/>
                <w:color w:val="000000"/>
              </w:rPr>
              <w:t xml:space="preserve"> по сетям </w:t>
            </w:r>
            <w:r>
              <w:rPr>
                <w:rFonts w:ascii="Tinos" w:hAnsi="Tinos"/>
                <w:color w:val="000000"/>
              </w:rPr>
              <w:t>рассчитывается как</w:t>
            </w:r>
            <w:r>
              <w:rPr>
                <w:rFonts w:ascii="Tinos" w:hAnsi="Tinos"/>
                <w:color w:val="000000"/>
              </w:rPr>
              <w:t xml:space="preserve"> разниц</w:t>
            </w:r>
            <w:r>
              <w:rPr>
                <w:color w:val="000000"/>
              </w:rPr>
              <w:t>а</w:t>
            </w:r>
            <w:r>
              <w:rPr>
                <w:rFonts w:ascii="Tinos" w:hAnsi="Tinos"/>
                <w:color w:val="000000"/>
              </w:rPr>
              <w:t xml:space="preserve"> между объемом эл. энергии, поступившей в эл. сети АО "</w:t>
            </w:r>
            <w:r>
              <w:rPr>
                <w:rFonts w:ascii="Tinos" w:hAnsi="Tinos"/>
                <w:color w:val="000000"/>
              </w:rPr>
              <w:t>Горэлектросеть</w:t>
            </w:r>
            <w:r>
              <w:rPr>
                <w:rFonts w:ascii="Tinos" w:hAnsi="Tinos"/>
                <w:color w:val="000000"/>
              </w:rPr>
              <w:t>" (</w:t>
            </w:r>
            <w:r>
              <w:rPr>
                <w:rFonts w:ascii="Tinos" w:hAnsi="Tinos"/>
                <w:color w:val="000000"/>
              </w:rPr>
              <w:t>Wпост</w:t>
            </w:r>
            <w:r>
              <w:rPr>
                <w:rFonts w:ascii="Tinos" w:hAnsi="Tinos"/>
                <w:color w:val="000000"/>
              </w:rPr>
              <w:t>) и объемом эл. энергии, отпущенной из сетей АО "ГЭС" потребителям - абонентам (</w:t>
            </w:r>
            <w:r>
              <w:rPr>
                <w:rFonts w:ascii="Tinos" w:hAnsi="Tinos"/>
                <w:color w:val="000000"/>
              </w:rPr>
              <w:t>Wотп</w:t>
            </w:r>
            <w:r>
              <w:rPr>
                <w:rFonts w:ascii="Tinos" w:hAnsi="Tinos"/>
                <w:color w:val="000000"/>
              </w:rPr>
              <w:t xml:space="preserve">), </w:t>
            </w:r>
          </w:p>
          <w:p w14:paraId="53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color w:val="000000"/>
              </w:rPr>
            </w:pPr>
            <w:r>
              <w:rPr>
                <w:rFonts w:ascii="Tinos" w:hAnsi="Tinos"/>
                <w:color w:val="000000"/>
              </w:rPr>
              <w:t>П</w:t>
            </w:r>
            <w:r>
              <w:rPr>
                <w:rFonts w:ascii="Tinos" w:hAnsi="Tinos"/>
                <w:color w:val="000000"/>
              </w:rPr>
              <w:t xml:space="preserve"> </w:t>
            </w:r>
            <w:r>
              <w:rPr>
                <w:rFonts w:ascii="Tinos" w:hAnsi="Tinos"/>
                <w:color w:val="000000"/>
              </w:rPr>
              <w:t>= (</w:t>
            </w:r>
            <w:r>
              <w:rPr>
                <w:rFonts w:ascii="Tinos" w:hAnsi="Tinos"/>
                <w:color w:val="000000"/>
              </w:rPr>
              <w:t>Wпост</w:t>
            </w:r>
            <w:r>
              <w:rPr>
                <w:rFonts w:ascii="Tinos" w:hAnsi="Tinos"/>
                <w:color w:val="000000"/>
              </w:rPr>
              <w:t xml:space="preserve">- </w:t>
            </w:r>
            <w:r>
              <w:rPr>
                <w:rFonts w:ascii="Tinos" w:hAnsi="Tinos"/>
                <w:color w:val="000000"/>
              </w:rPr>
              <w:t>Wотп</w:t>
            </w:r>
            <w:r>
              <w:rPr>
                <w:rFonts w:ascii="Tinos" w:hAnsi="Tinos"/>
                <w:color w:val="000000"/>
              </w:rPr>
              <w:t>), где:</w:t>
            </w:r>
          </w:p>
          <w:p w14:paraId="54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  <w:t>Wпост</w:t>
            </w:r>
            <w:r>
              <w:rPr>
                <w:rFonts w:ascii="Tinos" w:hAnsi="Tinos"/>
                <w:color w:val="000000"/>
              </w:rPr>
              <w:t xml:space="preserve"> - объем эл. энергии, поступившей в эл. сети АО "ГЭС";</w:t>
            </w:r>
          </w:p>
          <w:p w14:paraId="55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  <w:t>Wотп</w:t>
            </w:r>
            <w:r>
              <w:rPr>
                <w:rFonts w:ascii="Tinos" w:hAnsi="Tinos"/>
                <w:color w:val="000000"/>
              </w:rPr>
              <w:t xml:space="preserve"> - объемом отпуска эл. энергии из сети АО "ГЭС" (данные на основании письма АО «ГЭС»).</w:t>
            </w:r>
          </w:p>
          <w:p w14:paraId="56000000">
            <w:pPr>
              <w:pStyle w:val="Style_6"/>
              <w:widowControl w:val="0"/>
              <w:spacing w:after="0" w:line="240" w:lineRule="auto"/>
              <w:ind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  <w:t>Фактический объем эл. энергии, поступившей в эл. сети АО "ГЭС", определяется суммой показаний расчётных приборов учёта эл. энергии по всем точкам поставок (данные гарантирующего поставщика эл. энергии - ООО "МЭК").</w:t>
            </w:r>
          </w:p>
        </w:tc>
        <w:tc>
          <w:tcPr>
            <w:tcW w:type="dxa" w:w="255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Информация от АО «</w:t>
            </w:r>
            <w:r>
              <w:rPr>
                <w:rFonts w:ascii="Times New Roman" w:hAnsi="Times New Roman"/>
                <w:sz w:val="22"/>
              </w:rPr>
              <w:t>Горэлектросеть</w:t>
            </w:r>
            <w:r>
              <w:rPr>
                <w:rFonts w:ascii="Times New Roman" w:hAnsi="Times New Roman"/>
                <w:sz w:val="22"/>
              </w:rPr>
              <w:t>», ООО «МЭК»</w:t>
            </w:r>
          </w:p>
        </w:tc>
      </w:tr>
      <w:tr>
        <w:tc>
          <w:tcPr>
            <w:tcW w:type="dxa" w:w="72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589"/>
            <w:gridSpan w:val="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0"/>
              <w:spacing w:after="0" w:line="240" w:lineRule="auto"/>
              <w:ind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</w:rPr>
              <w:t xml:space="preserve">Комплекс процессных мероприятий «Мероприятия по </w:t>
            </w:r>
            <w:r>
              <w:rPr>
                <w:rFonts w:ascii="Tinos" w:hAnsi="Tinos"/>
                <w:color w:val="000000"/>
              </w:rPr>
              <w:t>прединвестиционной</w:t>
            </w:r>
            <w:r>
              <w:rPr>
                <w:rFonts w:ascii="Tinos" w:hAnsi="Tinos"/>
                <w:color w:val="000000"/>
              </w:rPr>
              <w:t xml:space="preserve"> подготовке проектов и мероприятий в области энергосбережения и повышения энергетической эффективности»</w:t>
            </w:r>
          </w:p>
        </w:tc>
      </w:tr>
      <w:tr>
        <w:tc>
          <w:tcPr>
            <w:tcW w:type="dxa" w:w="72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10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widowControl w:val="0"/>
              <w:spacing w:after="0" w:line="240" w:lineRule="auto"/>
              <w:ind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u w:color="000000"/>
              </w:rPr>
              <w:t>Количество разработанных (актуализированных) схем теплоснабжения города, ед.</w:t>
            </w:r>
          </w:p>
        </w:tc>
        <w:tc>
          <w:tcPr>
            <w:tcW w:type="dxa" w:w="127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«нет»</w:t>
            </w:r>
          </w:p>
        </w:tc>
        <w:tc>
          <w:tcPr>
            <w:tcW w:type="dxa" w:w="666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widowControl w:val="0"/>
              <w:spacing w:after="0" w:line="240" w:lineRule="auto"/>
              <w:ind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N </w:t>
            </w:r>
            <w:r>
              <w:rPr>
                <w:rFonts w:ascii="Tinos" w:hAnsi="Tinos"/>
              </w:rPr>
              <w:t xml:space="preserve">= </w:t>
            </w:r>
            <w:r>
              <w:rPr>
                <w:rFonts w:ascii="Tinos" w:hAnsi="Tinos"/>
                <w:color w:val="000000"/>
              </w:rPr>
              <w:t xml:space="preserve"> </w:t>
            </w:r>
            <w:r>
              <w:rPr>
                <w:rFonts w:ascii="Tinos" w:hAnsi="Tinos"/>
              </w:rPr>
              <w:t>Σ</w:t>
            </w:r>
            <w:r>
              <w:rPr>
                <w:rFonts w:ascii="Tinos" w:hAnsi="Tinos"/>
                <w:color w:val="000000"/>
              </w:rPr>
              <w:t xml:space="preserve"> </w:t>
            </w:r>
            <w:r>
              <w:rPr>
                <w:rFonts w:ascii="Tinos" w:hAnsi="Tinos"/>
                <w:color w:val="000000"/>
              </w:rPr>
              <w:t>ni</w:t>
            </w:r>
            <w:r>
              <w:rPr>
                <w:rFonts w:ascii="Tinos" w:hAnsi="Tinos"/>
                <w:color w:val="000000"/>
              </w:rPr>
              <w:t>, где</w:t>
            </w:r>
          </w:p>
          <w:p w14:paraId="5E000000">
            <w:pPr>
              <w:pStyle w:val="Style_4"/>
              <w:rPr>
                <w:rFonts w:ascii="Tinos" w:hAnsi="Tinos"/>
                <w:sz w:val="22"/>
              </w:rPr>
            </w:pPr>
            <w:r>
              <w:rPr>
                <w:rFonts w:ascii="Tinos" w:hAnsi="Tinos"/>
                <w:color w:val="000000"/>
                <w:sz w:val="22"/>
              </w:rPr>
              <w:t>ni</w:t>
            </w:r>
            <w:r>
              <w:rPr>
                <w:rFonts w:ascii="Tinos" w:hAnsi="Tinos"/>
                <w:color w:val="000000"/>
                <w:sz w:val="22"/>
              </w:rPr>
              <w:t xml:space="preserve"> – количество разработанных (актуализированных) схемы теплоснабжения города, ед.</w:t>
            </w:r>
          </w:p>
          <w:p w14:paraId="5F000000">
            <w:pPr>
              <w:widowControl w:val="0"/>
              <w:spacing w:after="0" w:line="240" w:lineRule="auto"/>
              <w:ind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</w:rPr>
              <w:t>(Сайт администрации города Магнитогорска https://www.magnitogorsk.ru/content/gorodskoe-khozyaystvo/upravlenie-inzhenernogo-obespecheniya-transporta-i-svyazi/informatsiya-13/inzhenernaya-infrastruktura/skhemy-vodo-i-teplosnabzheniya)</w:t>
            </w:r>
          </w:p>
        </w:tc>
        <w:tc>
          <w:tcPr>
            <w:tcW w:type="dxa" w:w="2552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Информация от МП трест «Теплофикация»</w:t>
            </w:r>
          </w:p>
        </w:tc>
      </w:tr>
    </w:tbl>
    <w:p w14:paraId="61000000"/>
    <w:sectPr>
      <w:headerReference r:id="rId1" w:type="default"/>
      <w:pgSz w:h="11906" w:orient="landscape" w:w="16838"/>
      <w:pgMar w:bottom="851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annotation reference"/>
    <w:basedOn w:val="Style_15"/>
    <w:link w:val="Style_14_ch"/>
    <w:rPr>
      <w:sz w:val="16"/>
    </w:rPr>
  </w:style>
  <w:style w:styleId="Style_14_ch" w:type="character">
    <w:name w:val="annotation reference"/>
    <w:basedOn w:val="Style_15_ch"/>
    <w:link w:val="Style_14"/>
    <w:rPr>
      <w:sz w:val="16"/>
    </w:rPr>
  </w:style>
  <w:style w:styleId="Style_4" w:type="paragraph">
    <w:name w:val="Нормальный (таблица)"/>
    <w:basedOn w:val="Style_7"/>
    <w:next w:val="Style_7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7_ch"/>
    <w:link w:val="Style_4"/>
    <w:rPr>
      <w:rFonts w:ascii="Arial" w:hAnsi="Arial"/>
      <w:sz w:val="24"/>
    </w:rPr>
  </w:style>
  <w:style w:styleId="Style_5" w:type="paragraph">
    <w:name w:val="Прижатый влево"/>
    <w:basedOn w:val="Style_7"/>
    <w:next w:val="Style_7"/>
    <w:link w:val="Style_5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5_ch" w:type="character">
    <w:name w:val="Прижатый влево"/>
    <w:basedOn w:val="Style_7_ch"/>
    <w:link w:val="Style_5"/>
    <w:rPr>
      <w:rFonts w:ascii="Arial" w:hAnsi="Arial"/>
      <w:sz w:val="24"/>
    </w:rPr>
  </w:style>
  <w:style w:styleId="Style_16" w:type="paragraph">
    <w:name w:val="Balloon Text"/>
    <w:basedOn w:val="Style_7"/>
    <w:link w:val="Style_16_ch"/>
    <w:pPr>
      <w:spacing w:after="0" w:line="240" w:lineRule="auto"/>
      <w:ind/>
    </w:pPr>
    <w:rPr>
      <w:rFonts w:ascii="Segoe UI" w:hAnsi="Segoe UI"/>
      <w:sz w:val="18"/>
    </w:rPr>
  </w:style>
  <w:style w:styleId="Style_16_ch" w:type="character">
    <w:name w:val="Balloon Text"/>
    <w:basedOn w:val="Style_7_ch"/>
    <w:link w:val="Style_16"/>
    <w:rPr>
      <w:rFonts w:ascii="Segoe UI" w:hAnsi="Segoe UI"/>
      <w:sz w:val="18"/>
    </w:rPr>
  </w:style>
  <w:style w:styleId="Style_17" w:type="paragraph">
    <w:name w:val="annotation text"/>
    <w:basedOn w:val="Style_7"/>
    <w:link w:val="Style_17_ch"/>
    <w:pPr>
      <w:spacing w:line="240" w:lineRule="auto"/>
      <w:ind/>
    </w:pPr>
    <w:rPr>
      <w:sz w:val="20"/>
    </w:rPr>
  </w:style>
  <w:style w:styleId="Style_17_ch" w:type="character">
    <w:name w:val="annotation text"/>
    <w:basedOn w:val="Style_7_ch"/>
    <w:link w:val="Style_17"/>
    <w:rPr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6" w:type="paragraph">
    <w:name w:val="Body Text"/>
    <w:basedOn w:val="Style_7"/>
    <w:link w:val="Style_6_ch"/>
    <w:pPr>
      <w:spacing w:after="140"/>
      <w:ind/>
    </w:pPr>
  </w:style>
  <w:style w:styleId="Style_6_ch" w:type="character">
    <w:name w:val="Body Text"/>
    <w:basedOn w:val="Style_7_ch"/>
    <w:link w:val="Style_6"/>
  </w:style>
  <w:style w:styleId="Style_18" w:type="paragraph">
    <w:name w:val="toc 3"/>
    <w:next w:val="Style_7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next w:val="Style_7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footer"/>
    <w:basedOn w:val="Style_7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7_ch"/>
    <w:link w:val="Style_20"/>
  </w:style>
  <w:style w:styleId="Style_21" w:type="paragraph">
    <w:name w:val="caption"/>
    <w:basedOn w:val="Style_7"/>
    <w:link w:val="Style_21_ch"/>
    <w:pPr>
      <w:spacing w:after="120" w:before="120"/>
      <w:ind/>
    </w:pPr>
    <w:rPr>
      <w:rFonts w:ascii="PT Astra Serif" w:hAnsi="PT Astra Serif"/>
      <w:i w:val="1"/>
      <w:sz w:val="24"/>
    </w:rPr>
  </w:style>
  <w:style w:styleId="Style_21_ch" w:type="character">
    <w:name w:val="caption"/>
    <w:basedOn w:val="Style_7_ch"/>
    <w:link w:val="Style_21"/>
    <w:rPr>
      <w:rFonts w:ascii="PT Astra Serif" w:hAnsi="PT Astra Serif"/>
      <w:i w:val="1"/>
      <w:sz w:val="24"/>
    </w:rPr>
  </w:style>
  <w:style w:styleId="Style_22" w:type="paragraph">
    <w:name w:val="heading 1"/>
    <w:next w:val="Style_7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Hyperlink"/>
    <w:link w:val="Style_23_ch"/>
    <w:rPr>
      <w:color w:val="000080"/>
      <w:u w:val="single"/>
    </w:rPr>
  </w:style>
  <w:style w:styleId="Style_23_ch" w:type="character">
    <w:name w:val="Hyperlink"/>
    <w:link w:val="Style_23"/>
    <w:rPr>
      <w:color w:val="000080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7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index heading"/>
    <w:basedOn w:val="Style_7"/>
    <w:link w:val="Style_27_ch"/>
    <w:rPr>
      <w:rFonts w:ascii="PT Astra Serif" w:hAnsi="PT Astra Serif"/>
    </w:rPr>
  </w:style>
  <w:style w:styleId="Style_27_ch" w:type="character">
    <w:name w:val="index heading"/>
    <w:basedOn w:val="Style_7_ch"/>
    <w:link w:val="Style_27"/>
    <w:rPr>
      <w:rFonts w:ascii="PT Astra Serif" w:hAnsi="PT Astra Serif"/>
    </w:rPr>
  </w:style>
  <w:style w:styleId="Style_28" w:type="paragraph">
    <w:name w:val="toc 9"/>
    <w:next w:val="Style_7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List"/>
    <w:basedOn w:val="Style_6"/>
    <w:link w:val="Style_29_ch"/>
    <w:rPr>
      <w:rFonts w:ascii="PT Astra Serif" w:hAnsi="PT Astra Serif"/>
    </w:rPr>
  </w:style>
  <w:style w:styleId="Style_29_ch" w:type="character">
    <w:name w:val="List"/>
    <w:basedOn w:val="Style_6_ch"/>
    <w:link w:val="Style_29"/>
    <w:rPr>
      <w:rFonts w:ascii="PT Astra Serif" w:hAnsi="PT Astra Serif"/>
    </w:rPr>
  </w:style>
  <w:style w:styleId="Style_30" w:type="paragraph">
    <w:name w:val="toc 8"/>
    <w:next w:val="Style_7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annotation subject"/>
    <w:basedOn w:val="Style_17"/>
    <w:next w:val="Style_17"/>
    <w:link w:val="Style_31_ch"/>
    <w:rPr>
      <w:b w:val="1"/>
    </w:rPr>
  </w:style>
  <w:style w:styleId="Style_31_ch" w:type="character">
    <w:name w:val="annotation subject"/>
    <w:basedOn w:val="Style_17_ch"/>
    <w:link w:val="Style_31"/>
    <w:rPr>
      <w:b w:val="1"/>
    </w:rPr>
  </w:style>
  <w:style w:styleId="Style_32" w:type="paragraph">
    <w:name w:val="toc 5"/>
    <w:next w:val="Style_7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next w:val="Style_7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34" w:type="paragraph">
    <w:name w:val="Title"/>
    <w:basedOn w:val="Style_7"/>
    <w:next w:val="Style_6"/>
    <w:link w:val="Style_34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4_ch" w:type="character">
    <w:name w:val="Title"/>
    <w:basedOn w:val="Style_7_ch"/>
    <w:link w:val="Style_34"/>
    <w:rPr>
      <w:rFonts w:ascii="PT Astra Serif" w:hAnsi="PT Astra Serif"/>
      <w:sz w:val="28"/>
    </w:rPr>
  </w:style>
  <w:style w:styleId="Style_35" w:type="paragraph">
    <w:name w:val="heading 4"/>
    <w:next w:val="Style_7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7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2025-06-26T03:45:32Z</dcterms:modified>
</cp:coreProperties>
</file>