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spacing w:after="0" w:line="240" w:lineRule="auto"/>
        <w:ind w:firstLine="11199" w:left="0"/>
        <w:rPr>
          <w:rFonts w:ascii="Times New Roman" w:hAnsi="Times New Roman"/>
        </w:rPr>
      </w:pPr>
      <w:bookmarkStart w:id="1" w:name="_GoBack"/>
      <w:bookmarkEnd w:id="1"/>
      <w:r>
        <w:rPr>
          <w:rFonts w:ascii="Times New Roman" w:hAnsi="Times New Roman"/>
        </w:rPr>
        <w:t>Приложение № 2</w:t>
      </w:r>
    </w:p>
    <w:p w14:paraId="07000000">
      <w:pPr>
        <w:spacing w:after="0" w:line="240" w:lineRule="auto"/>
        <w:ind w:firstLine="11199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 </w:t>
      </w:r>
    </w:p>
    <w:p w14:paraId="08000000">
      <w:pPr>
        <w:spacing w:after="0" w:line="240" w:lineRule="auto"/>
        <w:ind w:firstLine="11199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9000000">
      <w:pPr>
        <w:spacing w:after="0" w:line="240" w:lineRule="auto"/>
        <w:ind w:firstLine="11199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12.05.2025 № 4120-П</w:t>
      </w:r>
    </w:p>
    <w:p w14:paraId="0A000000">
      <w:pPr>
        <w:widowControl w:val="0"/>
        <w:spacing w:after="0" w:line="240" w:lineRule="auto"/>
        <w:ind w:firstLine="11199" w:left="0"/>
        <w:rPr>
          <w:rFonts w:ascii="Times New Roman" w:hAnsi="Times New Roman"/>
        </w:rPr>
      </w:pPr>
    </w:p>
    <w:p w14:paraId="0B000000">
      <w:pPr>
        <w:widowControl w:val="0"/>
        <w:spacing w:after="0" w:line="240" w:lineRule="auto"/>
        <w:ind w:firstLine="11199" w:left="0"/>
        <w:rPr>
          <w:rFonts w:ascii="Times New Roman" w:hAnsi="Times New Roman"/>
        </w:rPr>
      </w:pPr>
      <w:bookmarkStart w:id="2" w:name="P2307"/>
      <w:bookmarkEnd w:id="2"/>
      <w:r>
        <w:rPr>
          <w:rFonts w:ascii="Times New Roman" w:hAnsi="Times New Roman"/>
        </w:rPr>
        <w:t>Приложение № 2</w:t>
      </w:r>
    </w:p>
    <w:p w14:paraId="0C000000">
      <w:pPr>
        <w:widowControl w:val="0"/>
        <w:spacing w:after="0" w:line="240" w:lineRule="auto"/>
        <w:ind w:firstLine="11199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D000000">
      <w:pPr>
        <w:widowControl w:val="0"/>
        <w:spacing w:after="0" w:line="240" w:lineRule="auto"/>
        <w:ind w:firstLine="11199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«Энергосбережение и повышение </w:t>
      </w:r>
    </w:p>
    <w:p w14:paraId="0E000000">
      <w:pPr>
        <w:widowControl w:val="0"/>
        <w:spacing w:after="0" w:line="240" w:lineRule="auto"/>
        <w:ind w:firstLine="11199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энергетической эффективности </w:t>
      </w:r>
    </w:p>
    <w:p w14:paraId="0F000000">
      <w:pPr>
        <w:widowControl w:val="0"/>
        <w:spacing w:after="0" w:line="240" w:lineRule="auto"/>
        <w:ind w:firstLine="0" w:left="1119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городе Магнитогорске»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на 2025-2030 годы</w:t>
      </w:r>
    </w:p>
    <w:p w14:paraId="10000000">
      <w:pPr>
        <w:ind/>
        <w:jc w:val="center"/>
        <w:rPr>
          <w:rFonts w:ascii="Times New Roman" w:hAnsi="Times New Roman"/>
        </w:rPr>
      </w:pPr>
    </w:p>
    <w:p w14:paraId="11000000">
      <w:p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12000000">
      <w:pPr>
        <w:spacing w:after="29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13000000">
      <w:pPr>
        <w:spacing w:after="29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  <w:sz w:val="24"/>
        </w:rPr>
        <w:t>Энергосбережение и повышение энергетической эффективности объектов коммунального хозяйства и систем инженерной инфраструктуры в городе Магнитогорске</w:t>
      </w:r>
      <w:r>
        <w:rPr>
          <w:rFonts w:ascii="Times New Roman" w:hAnsi="Times New Roman"/>
        </w:rPr>
        <w:t>»</w:t>
      </w:r>
    </w:p>
    <w:p w14:paraId="14000000">
      <w:pPr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2"/>
        <w:tblW w:type="auto" w:w="0"/>
        <w:tblInd w:type="dxa" w:w="34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123"/>
        <w:gridCol w:w="7862"/>
      </w:tblGrid>
      <w:tr>
        <w:trPr>
          <w:trHeight w:hRule="atLeast" w:val="20"/>
        </w:trPr>
        <w:tc>
          <w:tcPr>
            <w:tcW w:type="dxa" w:w="6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widowControl w:val="0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17000000">
      <w:pPr>
        <w:ind/>
        <w:jc w:val="center"/>
        <w:outlineLvl w:val="2"/>
        <w:rPr>
          <w:rFonts w:ascii="Times New Roman" w:hAnsi="Times New Roman"/>
        </w:rPr>
      </w:pPr>
    </w:p>
    <w:p w14:paraId="18000000">
      <w:pPr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tbl>
      <w:tblPr>
        <w:tblStyle w:val="Style_2"/>
        <w:tblW w:type="auto" w:w="0"/>
        <w:tblInd w:type="dxa" w:w="279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3685"/>
        <w:gridCol w:w="1134"/>
        <w:gridCol w:w="1843"/>
        <w:gridCol w:w="1134"/>
        <w:gridCol w:w="1134"/>
        <w:gridCol w:w="1134"/>
        <w:gridCol w:w="1134"/>
        <w:gridCol w:w="1276"/>
        <w:gridCol w:w="1134"/>
        <w:gridCol w:w="218"/>
      </w:tblGrid>
      <w:tr>
        <w:trPr>
          <w:trHeight w:hRule="atLeast" w:val="291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6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Базовое значение за год, предшествующий году разработки проекта муниципальной </w:t>
            </w:r>
            <w:r>
              <w:rPr>
                <w:rFonts w:ascii="Times New Roman" w:hAnsi="Times New Roman"/>
              </w:rPr>
              <w:t>программы</w:t>
            </w:r>
          </w:p>
        </w:tc>
        <w:tc>
          <w:tcPr>
            <w:tcW w:type="dxa" w:w="694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218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widowControl w:val="0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18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widowControl w:val="0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397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218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widowControl w:val="0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283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608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«Сокращение объема потребления энергетических ресурсов в городе Магнитогорске»</w:t>
            </w:r>
          </w:p>
        </w:tc>
        <w:tc>
          <w:tcPr>
            <w:tcW w:type="dxa" w:w="218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624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Потребление электрической энергии с учетом энергосберегающих мероприятий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</w:t>
            </w:r>
            <w:r>
              <w:rPr>
                <w:rFonts w:ascii="Times New Roman" w:hAnsi="Times New Roman"/>
              </w:rPr>
              <w:t>кВт.ч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937 200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914441,90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914441,90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914 441,9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914 441,9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914 441,9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914 441,9</w:t>
            </w:r>
          </w:p>
        </w:tc>
        <w:tc>
          <w:tcPr>
            <w:tcW w:type="dxa" w:w="218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widowControl w:val="0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794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Суммарные потери электрической энергии при ее передаче по сетям с учетом энергосберегающей составляющей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</w:t>
            </w:r>
            <w:r>
              <w:rPr>
                <w:rFonts w:ascii="Times New Roman" w:hAnsi="Times New Roman"/>
              </w:rPr>
              <w:t>кВт.ч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124 072,1</w:t>
            </w:r>
          </w:p>
          <w:p w14:paraId="42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121 048,9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121 048,9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121 048,9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r>
              <w:rPr>
                <w:rFonts w:ascii="Times New Roman" w:hAnsi="Times New Roman"/>
              </w:rPr>
              <w:t>121 048,9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r>
              <w:rPr>
                <w:rFonts w:ascii="Times New Roman" w:hAnsi="Times New Roman"/>
              </w:rPr>
              <w:t>121 048,9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r>
              <w:rPr>
                <w:rFonts w:ascii="Times New Roman" w:hAnsi="Times New Roman"/>
              </w:rPr>
              <w:t>121 048,9</w:t>
            </w:r>
          </w:p>
        </w:tc>
        <w:tc>
          <w:tcPr>
            <w:tcW w:type="dxa" w:w="218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widowControl w:val="0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85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widowControl w:val="0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 xml:space="preserve">Снижение объема потребления электроэнергии на уличное освещение при внедрении </w:t>
            </w:r>
            <w:r>
              <w:rPr>
                <w:rFonts w:ascii="Times New Roman" w:hAnsi="Times New Roman"/>
                <w:u w:color="000000"/>
              </w:rPr>
              <w:t>энергоэффективных</w:t>
            </w:r>
            <w:r>
              <w:rPr>
                <w:rFonts w:ascii="Times New Roman" w:hAnsi="Times New Roman"/>
                <w:u w:color="000000"/>
              </w:rPr>
              <w:t xml:space="preserve"> мероприятий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</w:t>
            </w:r>
            <w:r>
              <w:rPr>
                <w:rFonts w:ascii="Times New Roman" w:hAnsi="Times New Roman"/>
              </w:rPr>
              <w:t>кВт.ч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94,33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54,56</w:t>
            </w:r>
          </w:p>
        </w:tc>
        <w:tc>
          <w:tcPr>
            <w:tcW w:type="dxa" w:w="218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widowControl w:val="0"/>
              <w:ind/>
              <w:rPr>
                <w:rFonts w:ascii="Times New Roman" w:hAnsi="Times New Roman"/>
              </w:rPr>
            </w:pPr>
          </w:p>
        </w:tc>
      </w:tr>
    </w:tbl>
    <w:p w14:paraId="55000000">
      <w:pPr>
        <w:ind/>
        <w:jc w:val="center"/>
        <w:outlineLvl w:val="2"/>
        <w:rPr>
          <w:rFonts w:ascii="Times New Roman" w:hAnsi="Times New Roman"/>
        </w:rPr>
      </w:pPr>
    </w:p>
    <w:p w14:paraId="56000000">
      <w:pPr>
        <w:ind/>
        <w:jc w:val="center"/>
        <w:outlineLvl w:val="2"/>
        <w:rPr>
          <w:rFonts w:ascii="Times New Roman" w:hAnsi="Times New Roman"/>
        </w:rPr>
      </w:pPr>
    </w:p>
    <w:p w14:paraId="57000000">
      <w:pPr>
        <w:ind/>
        <w:jc w:val="center"/>
        <w:outlineLvl w:val="2"/>
        <w:rPr>
          <w:rFonts w:ascii="Times New Roman" w:hAnsi="Times New Roman"/>
        </w:rPr>
      </w:pPr>
    </w:p>
    <w:p w14:paraId="58000000">
      <w:pPr>
        <w:ind/>
        <w:jc w:val="center"/>
        <w:outlineLvl w:val="2"/>
        <w:rPr>
          <w:rFonts w:ascii="Times New Roman" w:hAnsi="Times New Roman"/>
        </w:rPr>
      </w:pPr>
    </w:p>
    <w:p w14:paraId="59000000">
      <w:pPr>
        <w:ind/>
        <w:jc w:val="center"/>
        <w:outlineLvl w:val="2"/>
        <w:rPr>
          <w:rFonts w:ascii="Times New Roman" w:hAnsi="Times New Roman"/>
        </w:rPr>
      </w:pPr>
    </w:p>
    <w:p w14:paraId="5A000000">
      <w:pPr>
        <w:ind/>
        <w:jc w:val="center"/>
        <w:outlineLvl w:val="2"/>
        <w:rPr>
          <w:rFonts w:ascii="Times New Roman" w:hAnsi="Times New Roman"/>
        </w:rPr>
      </w:pPr>
    </w:p>
    <w:p w14:paraId="5B000000">
      <w:pPr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. План достижения показателей комплекса процессных мероприятий в 2025 году</w:t>
      </w: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2693"/>
        <w:gridCol w:w="1134"/>
        <w:gridCol w:w="851"/>
        <w:gridCol w:w="851"/>
        <w:gridCol w:w="850"/>
        <w:gridCol w:w="851"/>
        <w:gridCol w:w="850"/>
        <w:gridCol w:w="851"/>
        <w:gridCol w:w="849"/>
        <w:gridCol w:w="852"/>
        <w:gridCol w:w="850"/>
        <w:gridCol w:w="851"/>
        <w:gridCol w:w="850"/>
        <w:gridCol w:w="1134"/>
      </w:tblGrid>
      <w:tr>
        <w:trPr>
          <w:trHeight w:hRule="atLeast" w:val="283"/>
        </w:trPr>
        <w:tc>
          <w:tcPr>
            <w:tcW w:type="dxa" w:w="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rPr>
          <w:trHeight w:hRule="atLeast" w:val="283"/>
        </w:trP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227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rPr>
          <w:trHeight w:hRule="atLeast" w:val="397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«Сокращение объема потребления энергетических ресурсов в городе Магнитогорске»</w:t>
            </w:r>
          </w:p>
        </w:tc>
      </w:tr>
      <w:tr>
        <w:trPr>
          <w:trHeight w:hRule="atLeast" w:val="1134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Потребление электрической энергии с учетом энергосберегающих мероприятий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</w:t>
            </w:r>
            <w:r>
              <w:rPr>
                <w:rFonts w:ascii="Times New Roman" w:hAnsi="Times New Roman"/>
              </w:rPr>
              <w:t>кВт.ч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914441,90</w:t>
            </w:r>
          </w:p>
        </w:tc>
      </w:tr>
      <w:tr>
        <w:trPr>
          <w:trHeight w:hRule="atLeast" w:val="964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widowControl w:val="0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Суммарные потери электрической энергии при ее передаче по сетям с учетом энергосберегающей составляющей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</w:t>
            </w:r>
            <w:r>
              <w:rPr>
                <w:rFonts w:ascii="Times New Roman" w:hAnsi="Times New Roman"/>
              </w:rPr>
              <w:t>кВт.ч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121 048,9</w:t>
            </w:r>
          </w:p>
        </w:tc>
      </w:tr>
      <w:tr>
        <w:trPr>
          <w:trHeight w:hRule="atLeast" w:val="170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 xml:space="preserve">Снижение объема потребления электроэнергии на уличное освещение при внедрении </w:t>
            </w:r>
            <w:r>
              <w:rPr>
                <w:rFonts w:ascii="Times New Roman" w:hAnsi="Times New Roman"/>
                <w:u w:color="000000"/>
              </w:rPr>
              <w:t>энергоэффективным</w:t>
            </w:r>
            <w:r>
              <w:rPr>
                <w:rFonts w:ascii="Times New Roman" w:hAnsi="Times New Roman"/>
                <w:u w:color="000000"/>
              </w:rPr>
              <w:t xml:space="preserve"> мероприятий </w:t>
            </w:r>
          </w:p>
        </w:tc>
        <w:tc>
          <w:tcPr>
            <w:tcW w:type="dxa" w:w="113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</w:t>
            </w:r>
            <w:r>
              <w:rPr>
                <w:rFonts w:ascii="Times New Roman" w:hAnsi="Times New Roman"/>
              </w:rPr>
              <w:t>кВт.ч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54,56</w:t>
            </w:r>
          </w:p>
        </w:tc>
      </w:tr>
    </w:tbl>
    <w:p w14:paraId="AA000000">
      <w:pPr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AB000000">
      <w:pPr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6"/>
        <w:gridCol w:w="2381"/>
        <w:gridCol w:w="1416"/>
        <w:gridCol w:w="1871"/>
        <w:gridCol w:w="2042"/>
        <w:gridCol w:w="910"/>
        <w:gridCol w:w="987"/>
        <w:gridCol w:w="992"/>
        <w:gridCol w:w="993"/>
        <w:gridCol w:w="1134"/>
        <w:gridCol w:w="1275"/>
      </w:tblGrid>
      <w:tr>
        <w:trPr>
          <w:trHeight w:hRule="atLeast" w:val="20"/>
        </w:trPr>
        <w:tc>
          <w:tcPr>
            <w:tcW w:type="dxa" w:w="7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3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4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0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291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1101"/>
        </w:trPr>
        <w:tc>
          <w:tcPr>
            <w:tcW w:type="dxa" w:w="7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20"/>
        </w:trPr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2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hRule="atLeast" w:val="322"/>
        </w:trPr>
        <w:tc>
          <w:tcPr>
            <w:tcW w:type="dxa" w:w="1473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«Сокращение объема потребления энергетических ресурсов в городе Магнитогорске»</w:t>
            </w:r>
          </w:p>
        </w:tc>
      </w:tr>
      <w:tr>
        <w:trPr>
          <w:trHeight w:hRule="atLeast" w:val="2154"/>
        </w:trPr>
        <w:tc>
          <w:tcPr>
            <w:tcW w:type="dxa" w:w="73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38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Строительство новых ТП-10/0,4кВ взамен существующих. 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 связи с моральным и физическим износом</w:t>
            </w:r>
          </w:p>
        </w:tc>
        <w:tc>
          <w:tcPr>
            <w:tcW w:type="dxa" w:w="141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кВт*ч</w:t>
            </w:r>
          </w:p>
        </w:tc>
        <w:tc>
          <w:tcPr>
            <w:tcW w:type="dxa" w:w="187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строительно-монтажных работ объектов коммунального хозяйства и систем инженерной инфраструктуры</w:t>
            </w:r>
          </w:p>
        </w:tc>
        <w:tc>
          <w:tcPr>
            <w:tcW w:type="dxa" w:w="204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2,417</w:t>
            </w:r>
          </w:p>
        </w:tc>
        <w:tc>
          <w:tcPr>
            <w:tcW w:type="dxa" w:w="91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1,43</w:t>
            </w:r>
          </w:p>
        </w:tc>
        <w:tc>
          <w:tcPr>
            <w:tcW w:type="dxa" w:w="9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2,043</w:t>
            </w: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0,72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2826"/>
        </w:trPr>
        <w:tc>
          <w:tcPr>
            <w:tcW w:type="dxa" w:w="73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238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Реконструкция кабельных линий электропередачи КЛ-10кВ</w:t>
            </w:r>
          </w:p>
        </w:tc>
        <w:tc>
          <w:tcPr>
            <w:tcW w:type="dxa" w:w="141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кВт*ч</w:t>
            </w:r>
          </w:p>
          <w:p w14:paraId="D2000000">
            <w:pPr>
              <w:widowControl w:val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187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строительно-монтажных работ объектов коммунального хозяйства и систем инженерной инфраструктуры</w:t>
            </w:r>
          </w:p>
        </w:tc>
        <w:tc>
          <w:tcPr>
            <w:tcW w:type="dxa" w:w="204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13,248</w:t>
            </w:r>
          </w:p>
        </w:tc>
        <w:tc>
          <w:tcPr>
            <w:tcW w:type="dxa" w:w="91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0,307</w:t>
            </w: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6,67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1474"/>
        </w:trPr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2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Реконструкция подстанций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кВт*ч</w:t>
            </w:r>
          </w:p>
          <w:p w14:paraId="DE000000">
            <w:pPr>
              <w:widowControl w:val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строительно-монтажных работ объектов коммунального хозяйства и систем инженерной инфраструктуры</w:t>
            </w:r>
          </w:p>
        </w:tc>
        <w:tc>
          <w:tcPr>
            <w:tcW w:type="dxa" w:w="2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48,33</w:t>
            </w:r>
          </w:p>
        </w:tc>
        <w:tc>
          <w:tcPr>
            <w:tcW w:type="dxa" w:w="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48,333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1589"/>
        </w:trPr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highlight w:val="yellow"/>
              </w:rPr>
            </w:pPr>
          </w:p>
          <w:p w14:paraId="E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2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Внедрение автоматизированных систем диспетчерского контроля и управления наружным освещением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кВт*ч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Внедрения автоматизированных пунктов включения наружного освещения</w:t>
            </w:r>
          </w:p>
        </w:tc>
        <w:tc>
          <w:tcPr>
            <w:tcW w:type="dxa" w:w="2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65,25</w:t>
            </w:r>
          </w:p>
        </w:tc>
        <w:tc>
          <w:tcPr>
            <w:tcW w:type="dxa" w:w="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65,25</w:t>
            </w:r>
          </w:p>
        </w:tc>
        <w:tc>
          <w:tcPr>
            <w:tcW w:type="dxa" w:w="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737"/>
            <w:gridSpan w:val="11"/>
            <w:tcBorders>
              <w:top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F4000000">
      <w:pPr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5000000">
      <w:pPr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F6000000">
      <w:pPr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5"/>
        <w:tblLayout w:type="fixed"/>
      </w:tblPr>
      <w:tblGrid>
        <w:gridCol w:w="3120"/>
        <w:gridCol w:w="1551"/>
        <w:gridCol w:w="1328"/>
        <w:gridCol w:w="1702"/>
        <w:gridCol w:w="1760"/>
        <w:gridCol w:w="1338"/>
        <w:gridCol w:w="1406"/>
        <w:gridCol w:w="1953"/>
      </w:tblGrid>
      <w:tr>
        <w:tc>
          <w:tcPr>
            <w:tcW w:type="dxa" w:w="3120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1038"/>
            <w:gridSpan w:val="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120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70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76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3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0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95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312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70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76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3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40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5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12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223 469,29</w:t>
            </w:r>
          </w:p>
        </w:tc>
        <w:tc>
          <w:tcPr>
            <w:tcW w:type="dxa" w:w="13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56 677,44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68 362,02</w:t>
            </w:r>
          </w:p>
        </w:tc>
        <w:tc>
          <w:tcPr>
            <w:tcW w:type="dxa" w:w="17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9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348 508,75</w:t>
            </w:r>
          </w:p>
        </w:tc>
      </w:tr>
      <w:tr>
        <w:tc>
          <w:tcPr>
            <w:tcW w:type="dxa" w:w="312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7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9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312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13 983,53</w:t>
            </w:r>
          </w:p>
        </w:tc>
        <w:tc>
          <w:tcPr>
            <w:tcW w:type="dxa" w:w="13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553,09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553,09</w:t>
            </w:r>
          </w:p>
        </w:tc>
        <w:tc>
          <w:tcPr>
            <w:tcW w:type="dxa" w:w="17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9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15 089,71</w:t>
            </w:r>
          </w:p>
        </w:tc>
      </w:tr>
      <w:tr>
        <w:tc>
          <w:tcPr>
            <w:tcW w:type="dxa" w:w="312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4389,332</w:t>
            </w:r>
          </w:p>
        </w:tc>
        <w:tc>
          <w:tcPr>
            <w:tcW w:type="dxa" w:w="13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29,11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29,11</w:t>
            </w:r>
          </w:p>
        </w:tc>
        <w:tc>
          <w:tcPr>
            <w:tcW w:type="dxa" w:w="17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9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4 447,55</w:t>
            </w:r>
          </w:p>
        </w:tc>
      </w:tr>
      <w:tr>
        <w:tc>
          <w:tcPr>
            <w:tcW w:type="dxa" w:w="312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205 096,43</w:t>
            </w:r>
          </w:p>
        </w:tc>
        <w:tc>
          <w:tcPr>
            <w:tcW w:type="dxa" w:w="13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56 095,24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67 779,82</w:t>
            </w:r>
          </w:p>
        </w:tc>
        <w:tc>
          <w:tcPr>
            <w:tcW w:type="dxa" w:w="17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9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328 971,49</w:t>
            </w:r>
          </w:p>
        </w:tc>
      </w:tr>
    </w:tbl>
    <w:p w14:paraId="30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</w:rPr>
      </w:pPr>
    </w:p>
    <w:p w14:paraId="31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</w:t>
      </w:r>
    </w:p>
    <w:p w14:paraId="32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2025 году</w:t>
      </w:r>
    </w:p>
    <w:p w14:paraId="330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Layout w:type="fixed"/>
      </w:tblPr>
      <w:tblGrid>
        <w:gridCol w:w="704"/>
        <w:gridCol w:w="5124"/>
        <w:gridCol w:w="2035"/>
        <w:gridCol w:w="3331"/>
        <w:gridCol w:w="3376"/>
      </w:tblGrid>
      <w:tr>
        <w:trPr>
          <w:trHeight w:hRule="atLeast" w:val="288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3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33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3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«Сокращение объема потребления энергетических ресурсов в городе Магнитогорске»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 xml:space="preserve">Наименование мероприятия (результата) 1 </w:t>
            </w:r>
            <w:r>
              <w:rPr>
                <w:rFonts w:ascii="Times New Roman" w:hAnsi="Times New Roman"/>
                <w:u w:color="000000"/>
              </w:rPr>
              <w:t xml:space="preserve">Строительство новых ТП-10/0,4кВ взамен существующих. </w:t>
            </w:r>
            <w:r>
              <w:rPr>
                <w:rFonts w:ascii="Times New Roman" w:hAnsi="Times New Roman"/>
                <w:u w:color="000000"/>
              </w:rPr>
              <w:t>В</w:t>
            </w:r>
            <w:r>
              <w:rPr>
                <w:rFonts w:ascii="Times New Roman" w:hAnsi="Times New Roman"/>
                <w:u w:color="000000"/>
              </w:rPr>
              <w:t>связи</w:t>
            </w:r>
            <w:r>
              <w:rPr>
                <w:rFonts w:ascii="Times New Roman" w:hAnsi="Times New Roman"/>
                <w:u w:color="000000"/>
              </w:rPr>
              <w:t xml:space="preserve"> с моральным и физическим износом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4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2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1.1.1</w:t>
            </w:r>
          </w:p>
          <w:p w14:paraId="47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Выполнены работы (услуги оказаны) </w:t>
            </w:r>
            <w:r>
              <w:rPr>
                <w:rFonts w:ascii="Times New Roman" w:hAnsi="Times New Roman"/>
                <w:u w:color="000000"/>
              </w:rPr>
              <w:t>по проведению строительно-монтажных и проектно-изыскательных работ объектов коммунального хозяйства и систем инженерной инфраструктуры, находящихся в муниципальной собственности</w:t>
            </w:r>
          </w:p>
        </w:tc>
        <w:tc>
          <w:tcPr>
            <w:tcW w:type="dxa" w:w="2035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</w:t>
            </w:r>
          </w:p>
        </w:tc>
        <w:tc>
          <w:tcPr>
            <w:tcW w:type="dxa" w:w="3331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376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5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Наименование мероприятия (результата) 1 Реконструкция кабельных линий электропередачи КЛ-10кВ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highlight w:val="yellow"/>
              </w:rPr>
            </w:pPr>
          </w:p>
          <w:p w14:paraId="4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Иные</w:t>
            </w:r>
          </w:p>
        </w:tc>
        <w:tc>
          <w:tcPr>
            <w:tcW w:type="dxa" w:w="3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4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2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1.2.1</w:t>
            </w:r>
          </w:p>
          <w:p w14:paraId="53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Выполнены работы (услуги оказаны) </w:t>
            </w:r>
            <w:r>
              <w:rPr>
                <w:rFonts w:ascii="Times New Roman" w:hAnsi="Times New Roman"/>
                <w:u w:color="000000"/>
              </w:rPr>
              <w:t>по проведению строительно-монтажных работ объектов коммунального хозяйства и систем инженерной инфраструктуры, находящихся в муниципальной собственности</w:t>
            </w:r>
          </w:p>
        </w:tc>
        <w:tc>
          <w:tcPr>
            <w:tcW w:type="dxa" w:w="2035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</w:t>
            </w:r>
          </w:p>
        </w:tc>
        <w:tc>
          <w:tcPr>
            <w:tcW w:type="dxa" w:w="3331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376"/>
            <w:tcBorders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rPr>
          <w:trHeight w:hRule="atLeast" w:val="516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5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Наименование мероприятия (результата) 1 Реконструкция подстанций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highlight w:val="yellow"/>
              </w:rPr>
            </w:pPr>
          </w:p>
          <w:p w14:paraId="5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3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1.3.1</w:t>
            </w:r>
          </w:p>
          <w:p w14:paraId="5F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Выполнены работы (услуги оказаны) </w:t>
            </w:r>
            <w:r>
              <w:rPr>
                <w:rFonts w:ascii="Times New Roman" w:hAnsi="Times New Roman"/>
                <w:u w:color="000000"/>
              </w:rPr>
              <w:t>по проведению проектно-изыскательных работ объектов коммунального хозяйства и систем инженерной инфраструктуры, находящихся в муниципальной собственности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rPr>
          <w:trHeight w:hRule="atLeast" w:val="798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5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Внедрение автоматизированных систем диспетчерского контроля и управления наружным освещением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3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widowControl w:val="0"/>
              <w:ind/>
              <w:jc w:val="center"/>
              <w:rPr>
                <w:rFonts w:ascii="Times New Roman" w:hAnsi="Times New Roman"/>
                <w:highlight w:val="green"/>
              </w:rPr>
            </w:pPr>
          </w:p>
        </w:tc>
        <w:tc>
          <w:tcPr>
            <w:tcW w:type="dxa" w:w="3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rPr>
                <w:rFonts w:ascii="Times New Roman" w:hAnsi="Times New Roman"/>
                <w:highlight w:val="green"/>
              </w:rPr>
            </w:pP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green"/>
              </w:rPr>
            </w:pPr>
          </w:p>
        </w:tc>
        <w:tc>
          <w:tcPr>
            <w:tcW w:type="dxa" w:w="512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</w:t>
            </w:r>
          </w:p>
          <w:p w14:paraId="6A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Заключены муниципальные контракты </w:t>
            </w:r>
            <w:r>
              <w:rPr>
                <w:rFonts w:ascii="Times New Roman" w:hAnsi="Times New Roman"/>
                <w:u w:color="000000"/>
              </w:rPr>
              <w:t>на проведение строительно-монтажных и проектно-изыскательных работ объектов коммунального хозяйства и систем инженерной инфраструктуры, находящихся в муниципальной собственности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green"/>
              </w:rPr>
            </w:pPr>
          </w:p>
        </w:tc>
        <w:tc>
          <w:tcPr>
            <w:tcW w:type="dxa" w:w="512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</w:t>
            </w:r>
            <w:r>
              <w:rPr>
                <w:rFonts w:ascii="Times New Roman" w:hAnsi="Times New Roman"/>
              </w:rPr>
              <w:t>льная точка 1.4.2</w:t>
            </w:r>
          </w:p>
          <w:p w14:paraId="70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Выполнены работы (услуги оказаны) </w:t>
            </w:r>
            <w:r>
              <w:rPr>
                <w:rFonts w:ascii="Times New Roman" w:hAnsi="Times New Roman"/>
                <w:u w:color="000000"/>
              </w:rPr>
              <w:t>по проведению строительно-монтажных и проектно-изыскательных работ объектов коммунального хозяйства и систем инженерной инфраструктуры, находящихся в муниципальной собственности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</w:tbl>
    <w:p w14:paraId="7401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75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76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77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«Мероприятия по </w:t>
      </w:r>
      <w:r>
        <w:rPr>
          <w:rFonts w:ascii="Times New Roman" w:hAnsi="Times New Roman"/>
        </w:rPr>
        <w:t>прединвестиционной</w:t>
      </w:r>
      <w:r>
        <w:rPr>
          <w:rFonts w:ascii="Times New Roman" w:hAnsi="Times New Roman"/>
        </w:rPr>
        <w:t xml:space="preserve"> подготовке проектов и мероприятий в области энергосбережения и повышения энергетической эффективности» </w:t>
      </w:r>
    </w:p>
    <w:p w14:paraId="78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79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Ind w:type="dxa" w:w="34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311"/>
        <w:gridCol w:w="7862"/>
      </w:tblGrid>
      <w:tr>
        <w:tc>
          <w:tcPr>
            <w:tcW w:type="dxa" w:w="63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7C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7D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7E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Ind w:type="dxa" w:w="279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6"/>
        <w:gridCol w:w="3822"/>
        <w:gridCol w:w="1282"/>
        <w:gridCol w:w="1986"/>
        <w:gridCol w:w="1134"/>
        <w:gridCol w:w="992"/>
        <w:gridCol w:w="996"/>
        <w:gridCol w:w="1137"/>
        <w:gridCol w:w="1132"/>
        <w:gridCol w:w="901"/>
        <w:gridCol w:w="360"/>
      </w:tblGrid>
      <w:tr>
        <w:trPr>
          <w:trHeight w:hRule="atLeast" w:val="97"/>
        </w:trPr>
        <w:tc>
          <w:tcPr>
            <w:tcW w:type="dxa" w:w="8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9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29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360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widowControl w:val="0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360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10000">
            <w:pPr>
              <w:widowControl w:val="0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360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widowControl w:val="0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382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наличия разработанной (актуализированной) схемы теплоснабжения города Магнитогорска»</w:t>
            </w:r>
          </w:p>
        </w:tc>
        <w:tc>
          <w:tcPr>
            <w:tcW w:type="dxa" w:w="360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3"/>
                <w:u w:color="000000"/>
              </w:rPr>
              <w:t>Количество разработанных (актуализированных) схем теплоснабжения города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60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10000">
            <w:pPr>
              <w:widowControl w:val="0"/>
              <w:ind/>
              <w:rPr>
                <w:rFonts w:ascii="Times New Roman" w:hAnsi="Times New Roman"/>
              </w:rPr>
            </w:pPr>
          </w:p>
        </w:tc>
      </w:tr>
    </w:tbl>
    <w:p w14:paraId="A4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A5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A6010000">
      <w:pPr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2693"/>
        <w:gridCol w:w="1134"/>
        <w:gridCol w:w="568"/>
        <w:gridCol w:w="1134"/>
        <w:gridCol w:w="991"/>
        <w:gridCol w:w="710"/>
        <w:gridCol w:w="708"/>
        <w:gridCol w:w="1134"/>
        <w:gridCol w:w="708"/>
        <w:gridCol w:w="710"/>
        <w:gridCol w:w="992"/>
        <w:gridCol w:w="707"/>
        <w:gridCol w:w="994"/>
        <w:gridCol w:w="1134"/>
      </w:tblGrid>
      <w:tr>
        <w:tc>
          <w:tcPr>
            <w:tcW w:type="dxa" w:w="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496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rPr>
          <w:trHeight w:hRule="atLeast" w:val="626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widowControl w:val="0"/>
              <w:ind/>
              <w:rPr>
                <w:rFonts w:ascii="Times New Roman" w:hAnsi="Times New Roman"/>
                <w:highlight w:val="green"/>
              </w:rPr>
            </w:pPr>
            <w:r>
              <w:rPr>
                <w:rFonts w:ascii="Times New Roman" w:hAnsi="Times New Roman"/>
                <w:sz w:val="24"/>
              </w:rPr>
              <w:t>Задача 1. «Обеспечение наличия разработанной (актуализированной) схемы теплоснабжения города Магнитогорска»</w:t>
            </w:r>
          </w:p>
        </w:tc>
      </w:tr>
      <w:tr>
        <w:trPr>
          <w:trHeight w:hRule="atLeast" w:val="1159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1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3"/>
                <w:u w:color="000000"/>
              </w:rPr>
              <w:t>Количество разработанных (актуализированных) схем теплоснабжения города</w:t>
            </w:r>
          </w:p>
        </w:tc>
        <w:tc>
          <w:tcPr>
            <w:tcW w:type="dxa" w:w="113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</w:tbl>
    <w:p w14:paraId="D7010000">
      <w:pPr>
        <w:widowControl w:val="0"/>
        <w:spacing w:after="0" w:line="240" w:lineRule="auto"/>
        <w:ind/>
        <w:rPr>
          <w:rFonts w:ascii="Times New Roman" w:hAnsi="Times New Roman"/>
          <w:color w:val="FF0000"/>
        </w:rPr>
      </w:pPr>
    </w:p>
    <w:p w14:paraId="D8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D9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6"/>
        <w:gridCol w:w="2094"/>
        <w:gridCol w:w="1417"/>
        <w:gridCol w:w="1701"/>
        <w:gridCol w:w="1844"/>
        <w:gridCol w:w="1417"/>
        <w:gridCol w:w="1134"/>
        <w:gridCol w:w="992"/>
        <w:gridCol w:w="1134"/>
        <w:gridCol w:w="993"/>
        <w:gridCol w:w="992"/>
      </w:tblGrid>
      <w:tr>
        <w:tc>
          <w:tcPr>
            <w:tcW w:type="dxa" w:w="7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0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Базовое значение за год, предшествующий году разработки проекта </w:t>
            </w:r>
            <w:r>
              <w:rPr>
                <w:rFonts w:ascii="Times New Roman" w:hAnsi="Times New Roman"/>
                <w:spacing w:val="-20"/>
              </w:rPr>
              <w:t>муниципальной</w:t>
            </w:r>
            <w:r>
              <w:rPr>
                <w:rFonts w:ascii="Times New Roman" w:hAnsi="Times New Roman"/>
              </w:rPr>
              <w:t xml:space="preserve"> программы</w:t>
            </w:r>
          </w:p>
        </w:tc>
        <w:tc>
          <w:tcPr>
            <w:tcW w:type="dxa" w:w="666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1445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наличия разработанной (актуализированной) схемы теплоснабжения города Магнитогорска»</w:t>
            </w:r>
          </w:p>
        </w:tc>
      </w:tr>
      <w:tr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3"/>
                <w:u w:color="000000"/>
              </w:rPr>
              <w:t>Разработка и (или) актуализация схемы теплоснабжения города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Утверждение актуальной схемы теплоснабжения города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14454"/>
            <w:gridSpan w:val="11"/>
            <w:tcBorders>
              <w:top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FE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FF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tblInd w:type="dxa" w:w="-5"/>
        <w:tblLayout w:type="fixed"/>
      </w:tblPr>
      <w:tblGrid>
        <w:gridCol w:w="3121"/>
        <w:gridCol w:w="1551"/>
        <w:gridCol w:w="1559"/>
        <w:gridCol w:w="1560"/>
        <w:gridCol w:w="1560"/>
        <w:gridCol w:w="1560"/>
        <w:gridCol w:w="1566"/>
        <w:gridCol w:w="2115"/>
      </w:tblGrid>
      <w:tr>
        <w:tc>
          <w:tcPr>
            <w:tcW w:type="dxa" w:w="3121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71"/>
            <w:gridSpan w:val="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121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5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6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1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12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6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12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12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5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12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5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12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5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12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</w:t>
            </w:r>
          </w:p>
        </w:tc>
        <w:tc>
          <w:tcPr>
            <w:tcW w:type="dxa" w:w="155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3902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</w:rPr>
      </w:pPr>
    </w:p>
    <w:p w14:paraId="3A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</w:t>
      </w:r>
    </w:p>
    <w:p w14:paraId="3B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2025 году</w:t>
      </w:r>
    </w:p>
    <w:p w14:paraId="3C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Layout w:type="fixed"/>
      </w:tblPr>
      <w:tblGrid>
        <w:gridCol w:w="859"/>
        <w:gridCol w:w="4973"/>
        <w:gridCol w:w="2034"/>
        <w:gridCol w:w="3055"/>
        <w:gridCol w:w="3649"/>
      </w:tblGrid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3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4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0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наличия разработанной (актуализированной) схемы теплоснабжения города Магнитогорска»</w:t>
            </w:r>
          </w:p>
        </w:tc>
      </w:tr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3"/>
                <w:u w:color="000000"/>
              </w:rPr>
              <w:t>Наименование мероприятия (результата) 1 Разработка и (или) актуализация схемы теплоснабжения города</w:t>
            </w:r>
          </w:p>
        </w:tc>
        <w:tc>
          <w:tcPr>
            <w:tcW w:type="dxa" w:w="20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Контрольная точка 1.1.1</w:t>
            </w:r>
          </w:p>
          <w:p w14:paraId="5002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Издание постановления администрации города об утверждении схемы теплоснабжения</w:t>
            </w:r>
          </w:p>
        </w:tc>
        <w:tc>
          <w:tcPr>
            <w:tcW w:type="dxa" w:w="20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3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01.07.2025</w:t>
            </w: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администрации города</w:t>
            </w:r>
          </w:p>
        </w:tc>
      </w:tr>
    </w:tbl>
    <w:p w14:paraId="5402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55020000">
      <w:pPr>
        <w:widowControl w:val="0"/>
        <w:spacing w:after="0" w:line="240" w:lineRule="auto"/>
        <w:ind/>
        <w:rPr>
          <w:rFonts w:ascii="Times New Roman" w:hAnsi="Times New Roman"/>
          <w:color w:val="FF0000"/>
        </w:rPr>
      </w:pPr>
    </w:p>
    <w:sectPr>
      <w:headerReference r:id="rId1" w:type="default"/>
      <w:pgSz w:h="11906" w:orient="landscape" w:w="16838"/>
      <w:pgMar w:bottom="851" w:footer="0" w:gutter="0" w:header="0" w:left="1134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</w:pPr>
  </w:p>
  <w:p w14:paraId="04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5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Contents 2"/>
    <w:link w:val="Style_7_ch"/>
    <w:rPr>
      <w:rFonts w:ascii="XO Thames" w:hAnsi="XO Thames"/>
      <w:sz w:val="28"/>
    </w:rPr>
  </w:style>
  <w:style w:styleId="Style_7_ch" w:type="character">
    <w:name w:val="Contents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Гиперссылка1"/>
    <w:link w:val="Style_9_ch"/>
    <w:rPr>
      <w:color w:val="0000FF"/>
      <w:u w:val="single"/>
    </w:rPr>
  </w:style>
  <w:style w:styleId="Style_9_ch" w:type="character">
    <w:name w:val="Гиперссылка1"/>
    <w:link w:val="Style_9"/>
    <w:rPr>
      <w:color w:val="0000FF"/>
      <w:u w:val="single"/>
    </w:rPr>
  </w:style>
  <w:style w:styleId="Style_10" w:type="paragraph">
    <w:name w:val="Заголовок 41"/>
    <w:link w:val="Style_10_ch"/>
    <w:rPr>
      <w:rFonts w:ascii="XO Thames" w:hAnsi="XO Thames"/>
      <w:b w:val="1"/>
      <w:sz w:val="24"/>
    </w:rPr>
  </w:style>
  <w:style w:styleId="Style_10_ch" w:type="character">
    <w:name w:val="Заголовок 41"/>
    <w:link w:val="Style_10"/>
    <w:rPr>
      <w:rFonts w:ascii="XO Thames" w:hAnsi="XO Thames"/>
      <w:b w:val="1"/>
      <w:sz w:val="24"/>
    </w:rPr>
  </w:style>
  <w:style w:styleId="Style_11" w:type="paragraph">
    <w:name w:val="toc 6"/>
    <w:next w:val="Style_5"/>
    <w:link w:val="Style_11_ch"/>
    <w:uiPriority w:val="39"/>
    <w:pPr>
      <w:ind w:firstLine="0" w:left="1000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Заголовок таблицы"/>
    <w:basedOn w:val="Style_13"/>
    <w:link w:val="Style_12_ch"/>
    <w:pPr>
      <w:ind/>
      <w:jc w:val="center"/>
    </w:pPr>
    <w:rPr>
      <w:b w:val="1"/>
    </w:rPr>
  </w:style>
  <w:style w:styleId="Style_12_ch" w:type="character">
    <w:name w:val="Заголовок таблицы"/>
    <w:basedOn w:val="Style_13_ch"/>
    <w:link w:val="Style_12"/>
    <w:rPr>
      <w:b w:val="1"/>
    </w:rPr>
  </w:style>
  <w:style w:styleId="Style_14" w:type="paragraph">
    <w:name w:val="toc 7"/>
    <w:next w:val="Style_5"/>
    <w:link w:val="Style_14_ch"/>
    <w:uiPriority w:val="39"/>
    <w:pPr>
      <w:ind w:firstLine="0" w:left="1200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Contents 8"/>
    <w:link w:val="Style_15_ch"/>
    <w:rPr>
      <w:rFonts w:ascii="XO Thames" w:hAnsi="XO Thames"/>
      <w:sz w:val="28"/>
    </w:rPr>
  </w:style>
  <w:style w:styleId="Style_15_ch" w:type="character">
    <w:name w:val="Contents 8"/>
    <w:link w:val="Style_15"/>
    <w:rPr>
      <w:rFonts w:ascii="XO Thames" w:hAnsi="XO Thames"/>
      <w:sz w:val="28"/>
    </w:rPr>
  </w:style>
  <w:style w:styleId="Style_16" w:type="paragraph">
    <w:name w:val="Заголовок 31"/>
    <w:link w:val="Style_16_ch"/>
    <w:rPr>
      <w:rFonts w:ascii="XO Thames" w:hAnsi="XO Thames"/>
      <w:b w:val="1"/>
      <w:color w:val="000000"/>
      <w:spacing w:val="0"/>
      <w:sz w:val="26"/>
    </w:rPr>
  </w:style>
  <w:style w:styleId="Style_16_ch" w:type="character">
    <w:name w:val="Заголовок 31"/>
    <w:link w:val="Style_16"/>
    <w:rPr>
      <w:rFonts w:ascii="XO Thames" w:hAnsi="XO Thames"/>
      <w:b w:val="1"/>
      <w:color w:val="000000"/>
      <w:spacing w:val="0"/>
      <w:sz w:val="26"/>
    </w:rPr>
  </w:style>
  <w:style w:styleId="Style_17" w:type="paragraph">
    <w:name w:val="Text body"/>
    <w:link w:val="Style_17_ch"/>
  </w:style>
  <w:style w:styleId="Style_17_ch" w:type="character">
    <w:name w:val="Text body"/>
    <w:link w:val="Style_17"/>
  </w:style>
  <w:style w:styleId="Style_18" w:type="paragraph">
    <w:name w:val="Contents 7"/>
    <w:link w:val="Style_18_ch"/>
    <w:rPr>
      <w:rFonts w:ascii="XO Thames" w:hAnsi="XO Thames"/>
      <w:sz w:val="28"/>
    </w:rPr>
  </w:style>
  <w:style w:styleId="Style_18_ch" w:type="character">
    <w:name w:val="Contents 7"/>
    <w:link w:val="Style_18"/>
    <w:rPr>
      <w:rFonts w:ascii="XO Thames" w:hAnsi="XO Thames"/>
      <w:sz w:val="28"/>
    </w:rPr>
  </w:style>
  <w:style w:styleId="Style_19" w:type="paragraph">
    <w:name w:val="Endnote"/>
    <w:link w:val="Style_19_ch"/>
    <w:pPr>
      <w:ind w:firstLine="851" w:left="0"/>
      <w:jc w:val="both"/>
    </w:pPr>
    <w:rPr>
      <w:rFonts w:ascii="XO Thames" w:hAnsi="XO Thames"/>
    </w:rPr>
  </w:style>
  <w:style w:styleId="Style_19_ch" w:type="character">
    <w:name w:val="Endnote"/>
    <w:link w:val="Style_19"/>
    <w:rPr>
      <w:rFonts w:ascii="XO Thames" w:hAnsi="XO Thames"/>
    </w:rPr>
  </w:style>
  <w:style w:styleId="Style_20" w:type="paragraph">
    <w:name w:val="heading 3"/>
    <w:link w:val="Style_20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0_ch" w:type="character">
    <w:name w:val="heading 3"/>
    <w:link w:val="Style_20"/>
    <w:rPr>
      <w:rFonts w:ascii="XO Thames" w:hAnsi="XO Thames"/>
      <w:b w:val="1"/>
      <w:sz w:val="26"/>
    </w:rPr>
  </w:style>
  <w:style w:styleId="Style_21" w:type="paragraph">
    <w:name w:val="Заголовок 51"/>
    <w:link w:val="Style_21_ch"/>
    <w:rPr>
      <w:rFonts w:ascii="XO Thames" w:hAnsi="XO Thames"/>
      <w:b w:val="1"/>
      <w:color w:val="000000"/>
      <w:spacing w:val="0"/>
      <w:sz w:val="22"/>
    </w:rPr>
  </w:style>
  <w:style w:styleId="Style_21_ch" w:type="character">
    <w:name w:val="Заголовок 51"/>
    <w:link w:val="Style_21"/>
    <w:rPr>
      <w:rFonts w:ascii="XO Thames" w:hAnsi="XO Thames"/>
      <w:b w:val="1"/>
      <w:color w:val="000000"/>
      <w:spacing w:val="0"/>
      <w:sz w:val="22"/>
    </w:rPr>
  </w:style>
  <w:style w:styleId="Style_22" w:type="paragraph">
    <w:name w:val="annotation subject"/>
    <w:basedOn w:val="Style_23"/>
    <w:next w:val="Style_23"/>
    <w:link w:val="Style_22_ch"/>
    <w:rPr>
      <w:b w:val="1"/>
    </w:rPr>
  </w:style>
  <w:style w:styleId="Style_22_ch" w:type="character">
    <w:name w:val="annotation subject"/>
    <w:basedOn w:val="Style_23_ch"/>
    <w:link w:val="Style_22"/>
    <w:rPr>
      <w:b w:val="1"/>
    </w:rPr>
  </w:style>
  <w:style w:styleId="Style_24" w:type="paragraph">
    <w:name w:val="Заголовок 21"/>
    <w:link w:val="Style_24_ch"/>
    <w:rPr>
      <w:rFonts w:ascii="XO Thames" w:hAnsi="XO Thames"/>
      <w:b w:val="1"/>
      <w:sz w:val="28"/>
    </w:rPr>
  </w:style>
  <w:style w:styleId="Style_24_ch" w:type="character">
    <w:name w:val="Заголовок 21"/>
    <w:link w:val="Style_24"/>
    <w:rPr>
      <w:rFonts w:ascii="XO Thames" w:hAnsi="XO Thames"/>
      <w:b w:val="1"/>
      <w:sz w:val="28"/>
    </w:rPr>
  </w:style>
  <w:style w:styleId="Style_25" w:type="paragraph">
    <w:name w:val="List Paragraph"/>
    <w:basedOn w:val="Style_5"/>
    <w:link w:val="Style_25_ch"/>
    <w:pPr>
      <w:ind w:firstLine="0" w:left="720"/>
      <w:contextualSpacing w:val="1"/>
    </w:pPr>
  </w:style>
  <w:style w:styleId="Style_25_ch" w:type="character">
    <w:name w:val="List Paragraph"/>
    <w:basedOn w:val="Style_5_ch"/>
    <w:link w:val="Style_25"/>
  </w:style>
  <w:style w:styleId="Style_26" w:type="paragraph">
    <w:name w:val="Contents 1"/>
    <w:link w:val="Style_26_ch"/>
    <w:rPr>
      <w:rFonts w:ascii="XO Thames" w:hAnsi="XO Thames"/>
      <w:b w:val="1"/>
      <w:sz w:val="28"/>
    </w:rPr>
  </w:style>
  <w:style w:styleId="Style_26_ch" w:type="character">
    <w:name w:val="Contents 1"/>
    <w:link w:val="Style_26"/>
    <w:rPr>
      <w:rFonts w:ascii="XO Thames" w:hAnsi="XO Thames"/>
      <w:b w:val="1"/>
      <w:sz w:val="28"/>
    </w:rPr>
  </w:style>
  <w:style w:styleId="Style_27" w:type="paragraph">
    <w:name w:val="Internet link"/>
    <w:link w:val="Style_27_ch"/>
    <w:rPr>
      <w:rFonts w:ascii="Calibri" w:hAnsi="Calibri"/>
      <w:color w:val="0000FF"/>
      <w:u w:val="single"/>
    </w:rPr>
  </w:style>
  <w:style w:styleId="Style_27_ch" w:type="character">
    <w:name w:val="Internet link"/>
    <w:link w:val="Style_27"/>
    <w:rPr>
      <w:rFonts w:ascii="Calibri" w:hAnsi="Calibri"/>
      <w:color w:val="0000FF"/>
      <w:u w:val="single"/>
    </w:rPr>
  </w:style>
  <w:style w:styleId="Style_28" w:type="paragraph">
    <w:name w:val="List"/>
    <w:basedOn w:val="Style_29"/>
    <w:link w:val="Style_28_ch"/>
    <w:rPr>
      <w:rFonts w:ascii="PT Astra Serif" w:hAnsi="PT Astra Serif"/>
    </w:rPr>
  </w:style>
  <w:style w:styleId="Style_28_ch" w:type="character">
    <w:name w:val="List"/>
    <w:basedOn w:val="Style_29_ch"/>
    <w:link w:val="Style_28"/>
    <w:rPr>
      <w:rFonts w:ascii="PT Astra Serif" w:hAnsi="PT Astra Serif"/>
    </w:rPr>
  </w:style>
  <w:style w:styleId="Style_30" w:type="paragraph">
    <w:name w:val="Знак примечания1"/>
    <w:basedOn w:val="Style_31"/>
    <w:link w:val="Style_30_ch"/>
    <w:rPr>
      <w:sz w:val="16"/>
    </w:rPr>
  </w:style>
  <w:style w:styleId="Style_30_ch" w:type="character">
    <w:name w:val="Знак примечания1"/>
    <w:basedOn w:val="Style_31_ch"/>
    <w:link w:val="Style_30"/>
    <w:rPr>
      <w:sz w:val="16"/>
    </w:rPr>
  </w:style>
  <w:style w:styleId="Style_32" w:type="paragraph">
    <w:name w:val="toc 3"/>
    <w:next w:val="Style_5"/>
    <w:link w:val="Style_32_ch"/>
    <w:uiPriority w:val="39"/>
    <w:pPr>
      <w:ind w:firstLine="0" w:left="400"/>
    </w:pPr>
    <w:rPr>
      <w:rFonts w:ascii="XO Thames" w:hAnsi="XO Thames"/>
      <w:sz w:val="28"/>
    </w:rPr>
  </w:style>
  <w:style w:styleId="Style_32_ch" w:type="character">
    <w:name w:val="toc 3"/>
    <w:link w:val="Style_32"/>
    <w:rPr>
      <w:rFonts w:ascii="XO Thames" w:hAnsi="XO Thames"/>
      <w:sz w:val="28"/>
    </w:rPr>
  </w:style>
  <w:style w:styleId="Style_33" w:type="paragraph">
    <w:name w:val="Обычный1"/>
    <w:link w:val="Style_33_ch"/>
    <w:rPr>
      <w:rFonts w:asciiTheme="minorAscii" w:hAnsiTheme="minorHAnsi"/>
      <w:color w:val="000000"/>
      <w:spacing w:val="0"/>
      <w:sz w:val="22"/>
    </w:rPr>
  </w:style>
  <w:style w:styleId="Style_33_ch" w:type="character">
    <w:name w:val="Обычный1"/>
    <w:link w:val="Style_33"/>
    <w:rPr>
      <w:rFonts w:asciiTheme="minorAscii" w:hAnsiTheme="minorHAnsi"/>
      <w:color w:val="000000"/>
      <w:spacing w:val="0"/>
      <w:sz w:val="22"/>
    </w:rPr>
  </w:style>
  <w:style w:styleId="Style_34" w:type="paragraph">
    <w:name w:val="Название объекта1"/>
    <w:basedOn w:val="Style_33"/>
    <w:link w:val="Style_34_ch"/>
    <w:rPr>
      <w:rFonts w:ascii="PT Astra Serif" w:hAnsi="PT Astra Serif"/>
      <w:i w:val="1"/>
      <w:color w:val="000000"/>
      <w:spacing w:val="0"/>
      <w:sz w:val="24"/>
    </w:rPr>
  </w:style>
  <w:style w:styleId="Style_34_ch" w:type="character">
    <w:name w:val="Название объекта1"/>
    <w:basedOn w:val="Style_33_ch"/>
    <w:link w:val="Style_34"/>
    <w:rPr>
      <w:rFonts w:ascii="PT Astra Serif" w:hAnsi="PT Astra Serif"/>
      <w:i w:val="1"/>
      <w:color w:val="000000"/>
      <w:spacing w:val="0"/>
      <w:sz w:val="24"/>
    </w:rPr>
  </w:style>
  <w:style w:styleId="Style_35" w:type="paragraph">
    <w:name w:val="Заголовок 11"/>
    <w:link w:val="Style_35_ch"/>
    <w:rPr>
      <w:rFonts w:ascii="XO Thames" w:hAnsi="XO Thames"/>
      <w:b w:val="1"/>
      <w:sz w:val="32"/>
    </w:rPr>
  </w:style>
  <w:style w:styleId="Style_35_ch" w:type="character">
    <w:name w:val="Заголовок 11"/>
    <w:link w:val="Style_35"/>
    <w:rPr>
      <w:rFonts w:ascii="XO Thames" w:hAnsi="XO Thames"/>
      <w:b w:val="1"/>
      <w:sz w:val="32"/>
    </w:rPr>
  </w:style>
  <w:style w:styleId="Style_36" w:type="paragraph">
    <w:name w:val="Contents 5"/>
    <w:link w:val="Style_36_ch"/>
    <w:rPr>
      <w:rFonts w:ascii="XO Thames" w:hAnsi="XO Thames"/>
      <w:sz w:val="28"/>
    </w:rPr>
  </w:style>
  <w:style w:styleId="Style_36_ch" w:type="character">
    <w:name w:val="Contents 5"/>
    <w:link w:val="Style_36"/>
    <w:rPr>
      <w:rFonts w:ascii="XO Thames" w:hAnsi="XO Thames"/>
      <w:sz w:val="28"/>
    </w:rPr>
  </w:style>
  <w:style w:styleId="Style_37" w:type="paragraph">
    <w:name w:val="Contents 6"/>
    <w:link w:val="Style_37_ch"/>
    <w:rPr>
      <w:rFonts w:ascii="XO Thames" w:hAnsi="XO Thames"/>
      <w:sz w:val="28"/>
    </w:rPr>
  </w:style>
  <w:style w:styleId="Style_37_ch" w:type="character">
    <w:name w:val="Contents 6"/>
    <w:link w:val="Style_37"/>
    <w:rPr>
      <w:rFonts w:ascii="XO Thames" w:hAnsi="XO Thames"/>
      <w:sz w:val="28"/>
    </w:rPr>
  </w:style>
  <w:style w:styleId="Style_38" w:type="paragraph">
    <w:name w:val="heading 5"/>
    <w:link w:val="Style_38_ch"/>
    <w:uiPriority w:val="9"/>
    <w:qFormat/>
    <w:pPr>
      <w:ind/>
      <w:outlineLvl w:val="4"/>
    </w:pPr>
    <w:rPr>
      <w:rFonts w:ascii="XO Thames" w:hAnsi="XO Thames"/>
      <w:b w:val="1"/>
    </w:rPr>
  </w:style>
  <w:style w:styleId="Style_38_ch" w:type="character">
    <w:name w:val="heading 5"/>
    <w:link w:val="Style_38"/>
    <w:rPr>
      <w:rFonts w:ascii="XO Thames" w:hAnsi="XO Thames"/>
      <w:b w:val="1"/>
    </w:rPr>
  </w:style>
  <w:style w:styleId="Style_39" w:type="paragraph">
    <w:name w:val="footer"/>
    <w:basedOn w:val="Style_5"/>
    <w:link w:val="Style_3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9_ch" w:type="character">
    <w:name w:val="footer"/>
    <w:basedOn w:val="Style_5_ch"/>
    <w:link w:val="Style_39"/>
  </w:style>
  <w:style w:styleId="Style_40" w:type="paragraph">
    <w:name w:val="heading 1"/>
    <w:next w:val="Style_5"/>
    <w:link w:val="Style_4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40_ch" w:type="character">
    <w:name w:val="heading 1"/>
    <w:link w:val="Style_40"/>
    <w:rPr>
      <w:rFonts w:ascii="XO Thames" w:hAnsi="XO Thames"/>
      <w:b w:val="1"/>
      <w:sz w:val="32"/>
    </w:rPr>
  </w:style>
  <w:style w:styleId="Style_41" w:type="paragraph">
    <w:name w:val="Hyperlink"/>
    <w:link w:val="Style_41_ch"/>
    <w:rPr>
      <w:color w:val="0000FF"/>
      <w:u w:val="single"/>
    </w:rPr>
  </w:style>
  <w:style w:styleId="Style_41_ch" w:type="character">
    <w:name w:val="Hyperlink"/>
    <w:link w:val="Style_41"/>
    <w:rPr>
      <w:color w:val="0000FF"/>
      <w:u w:val="single"/>
    </w:rPr>
  </w:style>
  <w:style w:styleId="Style_42" w:type="paragraph">
    <w:name w:val="Footnote"/>
    <w:link w:val="Style_42_ch"/>
    <w:pPr>
      <w:ind w:firstLine="851" w:left="0"/>
      <w:jc w:val="both"/>
    </w:pPr>
    <w:rPr>
      <w:rFonts w:ascii="XO Thames" w:hAnsi="XO Thames"/>
    </w:rPr>
  </w:style>
  <w:style w:styleId="Style_42_ch" w:type="character">
    <w:name w:val="Footnote"/>
    <w:link w:val="Style_42"/>
    <w:rPr>
      <w:rFonts w:ascii="XO Thames" w:hAnsi="XO Thames"/>
    </w:rPr>
  </w:style>
  <w:style w:styleId="Style_43" w:type="paragraph">
    <w:name w:val="Contents 4"/>
    <w:link w:val="Style_43_ch"/>
    <w:rPr>
      <w:rFonts w:ascii="XO Thames" w:hAnsi="XO Thames"/>
      <w:sz w:val="28"/>
    </w:rPr>
  </w:style>
  <w:style w:styleId="Style_43_ch" w:type="character">
    <w:name w:val="Contents 4"/>
    <w:link w:val="Style_43"/>
    <w:rPr>
      <w:rFonts w:ascii="XO Thames" w:hAnsi="XO Thames"/>
      <w:sz w:val="28"/>
    </w:rPr>
  </w:style>
  <w:style w:styleId="Style_44" w:type="paragraph">
    <w:name w:val="toc 1"/>
    <w:next w:val="Style_5"/>
    <w:link w:val="Style_44_ch"/>
    <w:uiPriority w:val="39"/>
    <w:rPr>
      <w:rFonts w:ascii="XO Thames" w:hAnsi="XO Thames"/>
      <w:b w:val="1"/>
      <w:sz w:val="28"/>
    </w:rPr>
  </w:style>
  <w:style w:styleId="Style_44_ch" w:type="character">
    <w:name w:val="toc 1"/>
    <w:link w:val="Style_44"/>
    <w:rPr>
      <w:rFonts w:ascii="XO Thames" w:hAnsi="XO Thames"/>
      <w:b w:val="1"/>
      <w:sz w:val="28"/>
    </w:rPr>
  </w:style>
  <w:style w:styleId="Style_45" w:type="paragraph">
    <w:name w:val="Contents 9"/>
    <w:link w:val="Style_45_ch"/>
    <w:rPr>
      <w:rFonts w:ascii="XO Thames" w:hAnsi="XO Thames"/>
      <w:sz w:val="28"/>
    </w:rPr>
  </w:style>
  <w:style w:styleId="Style_45_ch" w:type="character">
    <w:name w:val="Contents 9"/>
    <w:link w:val="Style_45"/>
    <w:rPr>
      <w:rFonts w:ascii="XO Thames" w:hAnsi="XO Thames"/>
      <w:sz w:val="28"/>
    </w:rPr>
  </w:style>
  <w:style w:styleId="Style_46" w:type="paragraph">
    <w:name w:val="Header and Footer"/>
    <w:link w:val="Style_46_ch"/>
    <w:rPr>
      <w:rFonts w:ascii="XO Thames" w:hAnsi="XO Thames"/>
      <w:sz w:val="28"/>
    </w:rPr>
  </w:style>
  <w:style w:styleId="Style_46_ch" w:type="character">
    <w:name w:val="Header and Footer"/>
    <w:link w:val="Style_46"/>
    <w:rPr>
      <w:rFonts w:ascii="XO Thames" w:hAnsi="XO Thames"/>
      <w:sz w:val="28"/>
    </w:rPr>
  </w:style>
  <w:style w:styleId="Style_47" w:type="paragraph">
    <w:name w:val="index heading"/>
    <w:basedOn w:val="Style_5"/>
    <w:link w:val="Style_47_ch"/>
    <w:rPr>
      <w:rFonts w:ascii="PT Astra Serif" w:hAnsi="PT Astra Serif"/>
    </w:rPr>
  </w:style>
  <w:style w:styleId="Style_47_ch" w:type="character">
    <w:name w:val="index heading"/>
    <w:basedOn w:val="Style_5_ch"/>
    <w:link w:val="Style_47"/>
    <w:rPr>
      <w:rFonts w:ascii="PT Astra Serif" w:hAnsi="PT Astra Serif"/>
    </w:rPr>
  </w:style>
  <w:style w:styleId="Style_48" w:type="paragraph">
    <w:name w:val="toc 9"/>
    <w:next w:val="Style_5"/>
    <w:link w:val="Style_48_ch"/>
    <w:uiPriority w:val="39"/>
    <w:pPr>
      <w:ind w:firstLine="0" w:left="1600"/>
    </w:pPr>
    <w:rPr>
      <w:rFonts w:ascii="XO Thames" w:hAnsi="XO Thames"/>
      <w:sz w:val="28"/>
    </w:rPr>
  </w:style>
  <w:style w:styleId="Style_48_ch" w:type="character">
    <w:name w:val="toc 9"/>
    <w:link w:val="Style_48"/>
    <w:rPr>
      <w:rFonts w:ascii="XO Thames" w:hAnsi="XO Thames"/>
      <w:sz w:val="28"/>
    </w:rPr>
  </w:style>
  <w:style w:styleId="Style_49" w:type="paragraph">
    <w:name w:val="Default Paragraph Font"/>
    <w:link w:val="Style_49_ch"/>
  </w:style>
  <w:style w:styleId="Style_49_ch" w:type="character">
    <w:name w:val="Default Paragraph Font"/>
    <w:link w:val="Style_49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50" w:type="paragraph">
    <w:name w:val="Заголовок2"/>
    <w:basedOn w:val="Style_33"/>
    <w:link w:val="Style_50_ch"/>
    <w:rPr>
      <w:rFonts w:ascii="PT Astra Serif" w:hAnsi="PT Astra Serif"/>
      <w:color w:val="000000"/>
      <w:spacing w:val="0"/>
      <w:sz w:val="28"/>
    </w:rPr>
  </w:style>
  <w:style w:styleId="Style_50_ch" w:type="character">
    <w:name w:val="Заголовок2"/>
    <w:basedOn w:val="Style_33_ch"/>
    <w:link w:val="Style_50"/>
    <w:rPr>
      <w:rFonts w:ascii="PT Astra Serif" w:hAnsi="PT Astra Serif"/>
      <w:color w:val="000000"/>
      <w:spacing w:val="0"/>
      <w:sz w:val="28"/>
    </w:rPr>
  </w:style>
  <w:style w:styleId="Style_51" w:type="paragraph">
    <w:name w:val="toc 8"/>
    <w:next w:val="Style_5"/>
    <w:link w:val="Style_51_ch"/>
    <w:uiPriority w:val="39"/>
    <w:pPr>
      <w:ind w:firstLine="0" w:left="1400"/>
    </w:pPr>
    <w:rPr>
      <w:rFonts w:ascii="XO Thames" w:hAnsi="XO Thames"/>
      <w:sz w:val="28"/>
    </w:rPr>
  </w:style>
  <w:style w:styleId="Style_51_ch" w:type="character">
    <w:name w:val="toc 8"/>
    <w:link w:val="Style_51"/>
    <w:rPr>
      <w:rFonts w:ascii="XO Thames" w:hAnsi="XO Thames"/>
      <w:sz w:val="28"/>
    </w:rPr>
  </w:style>
  <w:style w:styleId="Style_23" w:type="paragraph">
    <w:name w:val="annotation text"/>
    <w:basedOn w:val="Style_5"/>
    <w:link w:val="Style_23_ch"/>
    <w:pPr>
      <w:spacing w:line="240" w:lineRule="auto"/>
      <w:ind/>
    </w:pPr>
    <w:rPr>
      <w:sz w:val="20"/>
    </w:rPr>
  </w:style>
  <w:style w:styleId="Style_23_ch" w:type="character">
    <w:name w:val="annotation text"/>
    <w:basedOn w:val="Style_5_ch"/>
    <w:link w:val="Style_23"/>
    <w:rPr>
      <w:sz w:val="20"/>
    </w:rPr>
  </w:style>
  <w:style w:styleId="Style_29" w:type="paragraph">
    <w:name w:val="Body Text"/>
    <w:basedOn w:val="Style_5"/>
    <w:link w:val="Style_29_ch"/>
    <w:pPr>
      <w:spacing w:after="140"/>
      <w:ind/>
    </w:pPr>
  </w:style>
  <w:style w:styleId="Style_29_ch" w:type="character">
    <w:name w:val="Body Text"/>
    <w:basedOn w:val="Style_5_ch"/>
    <w:link w:val="Style_29"/>
  </w:style>
  <w:style w:styleId="Style_52" w:type="paragraph">
    <w:name w:val="caption"/>
    <w:link w:val="Style_52_ch"/>
    <w:rPr>
      <w:rFonts w:ascii="PT Astra Serif" w:hAnsi="PT Astra Serif"/>
      <w:i w:val="1"/>
      <w:sz w:val="24"/>
    </w:rPr>
  </w:style>
  <w:style w:styleId="Style_52_ch" w:type="character">
    <w:name w:val="caption"/>
    <w:link w:val="Style_52"/>
    <w:rPr>
      <w:rFonts w:ascii="PT Astra Serif" w:hAnsi="PT Astra Serif"/>
      <w:i w:val="1"/>
      <w:sz w:val="24"/>
    </w:rPr>
  </w:style>
  <w:style w:styleId="Style_53" w:type="paragraph">
    <w:name w:val="ConsPlusNormal"/>
    <w:link w:val="Style_53_ch"/>
    <w:pPr>
      <w:widowControl w:val="0"/>
      <w:ind/>
    </w:pPr>
    <w:rPr>
      <w:rFonts w:ascii="Calibri" w:hAnsi="Calibri"/>
    </w:rPr>
  </w:style>
  <w:style w:styleId="Style_53_ch" w:type="character">
    <w:name w:val="ConsPlusNormal"/>
    <w:link w:val="Style_53"/>
    <w:rPr>
      <w:rFonts w:ascii="Calibri" w:hAnsi="Calibri"/>
    </w:rPr>
  </w:style>
  <w:style w:styleId="Style_54" w:type="paragraph">
    <w:name w:val="toc 5"/>
    <w:next w:val="Style_5"/>
    <w:link w:val="Style_54_ch"/>
    <w:uiPriority w:val="39"/>
    <w:pPr>
      <w:ind w:firstLine="0" w:left="800"/>
    </w:pPr>
    <w:rPr>
      <w:rFonts w:ascii="XO Thames" w:hAnsi="XO Thames"/>
      <w:sz w:val="28"/>
    </w:rPr>
  </w:style>
  <w:style w:styleId="Style_54_ch" w:type="character">
    <w:name w:val="toc 5"/>
    <w:link w:val="Style_54"/>
    <w:rPr>
      <w:rFonts w:ascii="XO Thames" w:hAnsi="XO Thames"/>
      <w:sz w:val="28"/>
    </w:rPr>
  </w:style>
  <w:style w:styleId="Style_55" w:type="paragraph">
    <w:name w:val="Подзаголовок1"/>
    <w:link w:val="Style_55_ch"/>
    <w:rPr>
      <w:rFonts w:ascii="XO Thames" w:hAnsi="XO Thames"/>
      <w:i w:val="1"/>
      <w:color w:val="000000"/>
      <w:spacing w:val="0"/>
      <w:sz w:val="24"/>
    </w:rPr>
  </w:style>
  <w:style w:styleId="Style_55_ch" w:type="character">
    <w:name w:val="Подзаголовок1"/>
    <w:link w:val="Style_55"/>
    <w:rPr>
      <w:rFonts w:ascii="XO Thames" w:hAnsi="XO Thames"/>
      <w:i w:val="1"/>
      <w:color w:val="000000"/>
      <w:spacing w:val="0"/>
      <w:sz w:val="24"/>
    </w:rPr>
  </w:style>
  <w:style w:styleId="Style_56" w:type="paragraph">
    <w:name w:val="Subtitle"/>
    <w:link w:val="Style_56_ch"/>
    <w:uiPriority w:val="11"/>
    <w:qFormat/>
    <w:rPr>
      <w:rFonts w:ascii="XO Thames" w:hAnsi="XO Thames"/>
      <w:i w:val="1"/>
      <w:sz w:val="24"/>
    </w:rPr>
  </w:style>
  <w:style w:styleId="Style_56_ch" w:type="character">
    <w:name w:val="Subtitle"/>
    <w:link w:val="Style_56"/>
    <w:rPr>
      <w:rFonts w:ascii="XO Thames" w:hAnsi="XO Thames"/>
      <w:i w:val="1"/>
      <w:sz w:val="24"/>
    </w:rPr>
  </w:style>
  <w:style w:styleId="Style_57" w:type="paragraph">
    <w:name w:val="Contents 3"/>
    <w:link w:val="Style_57_ch"/>
    <w:rPr>
      <w:rFonts w:ascii="XO Thames" w:hAnsi="XO Thames"/>
      <w:sz w:val="28"/>
    </w:rPr>
  </w:style>
  <w:style w:styleId="Style_57_ch" w:type="character">
    <w:name w:val="Contents 3"/>
    <w:link w:val="Style_57"/>
    <w:rPr>
      <w:rFonts w:ascii="XO Thames" w:hAnsi="XO Thames"/>
      <w:sz w:val="28"/>
    </w:rPr>
  </w:style>
  <w:style w:styleId="Style_13" w:type="paragraph">
    <w:name w:val="Содержимое таблицы"/>
    <w:basedOn w:val="Style_5"/>
    <w:link w:val="Style_13_ch"/>
    <w:pPr>
      <w:widowControl w:val="0"/>
      <w:ind/>
    </w:pPr>
  </w:style>
  <w:style w:styleId="Style_13_ch" w:type="character">
    <w:name w:val="Содержимое таблицы"/>
    <w:basedOn w:val="Style_5_ch"/>
    <w:link w:val="Style_13"/>
  </w:style>
  <w:style w:styleId="Style_58" w:type="paragraph">
    <w:name w:val="Заголовок1"/>
    <w:link w:val="Style_58_ch"/>
    <w:rPr>
      <w:rFonts w:ascii="XO Thames" w:hAnsi="XO Thames"/>
      <w:b w:val="1"/>
      <w:caps w:val="1"/>
      <w:sz w:val="40"/>
    </w:rPr>
  </w:style>
  <w:style w:styleId="Style_58_ch" w:type="character">
    <w:name w:val="Заголовок1"/>
    <w:link w:val="Style_58"/>
    <w:rPr>
      <w:rFonts w:ascii="XO Thames" w:hAnsi="XO Thames"/>
      <w:b w:val="1"/>
      <w:caps w:val="1"/>
      <w:sz w:val="40"/>
    </w:rPr>
  </w:style>
  <w:style w:styleId="Style_59" w:type="paragraph">
    <w:name w:val="Title"/>
    <w:next w:val="Style_29"/>
    <w:link w:val="Style_5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9_ch" w:type="character">
    <w:name w:val="Title"/>
    <w:link w:val="Style_59"/>
    <w:rPr>
      <w:rFonts w:ascii="XO Thames" w:hAnsi="XO Thames"/>
      <w:b w:val="1"/>
      <w:caps w:val="1"/>
      <w:sz w:val="40"/>
    </w:rPr>
  </w:style>
  <w:style w:styleId="Style_60" w:type="paragraph">
    <w:name w:val="heading 4"/>
    <w:next w:val="Style_5"/>
    <w:link w:val="Style_6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60_ch" w:type="character">
    <w:name w:val="heading 4"/>
    <w:link w:val="Style_60"/>
    <w:rPr>
      <w:rFonts w:ascii="XO Thames" w:hAnsi="XO Thames"/>
      <w:b w:val="1"/>
      <w:sz w:val="24"/>
    </w:rPr>
  </w:style>
  <w:style w:styleId="Style_61" w:type="paragraph">
    <w:name w:val="heading 2"/>
    <w:next w:val="Style_5"/>
    <w:link w:val="Style_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1_ch" w:type="character">
    <w:name w:val="heading 2"/>
    <w:link w:val="Style_61"/>
    <w:rPr>
      <w:rFonts w:ascii="XO Thames" w:hAnsi="XO Thames"/>
      <w:b w:val="1"/>
      <w:sz w:val="28"/>
    </w:rPr>
  </w:style>
  <w:style w:styleId="Style_62" w:type="paragraph">
    <w:name w:val="Колонтитул"/>
    <w:link w:val="Style_62_ch"/>
    <w:pPr>
      <w:ind/>
      <w:jc w:val="both"/>
    </w:pPr>
    <w:rPr>
      <w:rFonts w:ascii="XO Thames" w:hAnsi="XO Thames"/>
      <w:sz w:val="28"/>
    </w:rPr>
  </w:style>
  <w:style w:styleId="Style_62_ch" w:type="character">
    <w:name w:val="Колонтитул"/>
    <w:link w:val="Style_62"/>
    <w:rPr>
      <w:rFonts w:ascii="XO Thames" w:hAnsi="XO Thames"/>
      <w:sz w:val="28"/>
    </w:rPr>
  </w:style>
  <w:style w:styleId="Style_63" w:type="paragraph">
    <w:name w:val="Список1"/>
    <w:basedOn w:val="Style_29"/>
    <w:link w:val="Style_63_ch"/>
    <w:rPr>
      <w:rFonts w:ascii="PT Astra Serif" w:hAnsi="PT Astra Serif"/>
      <w:color w:val="000000"/>
      <w:spacing w:val="0"/>
      <w:sz w:val="22"/>
    </w:rPr>
  </w:style>
  <w:style w:styleId="Style_63_ch" w:type="character">
    <w:name w:val="Список1"/>
    <w:basedOn w:val="Style_29_ch"/>
    <w:link w:val="Style_63"/>
    <w:rPr>
      <w:rFonts w:ascii="PT Astra Serif" w:hAnsi="PT Astra Serif"/>
      <w:color w:val="000000"/>
      <w:spacing w:val="0"/>
      <w:sz w:val="22"/>
    </w:rPr>
  </w:style>
  <w:style w:styleId="Style_31" w:type="paragraph">
    <w:name w:val="Основной шрифт абзаца1"/>
    <w:link w:val="Style_31_ch"/>
  </w:style>
  <w:style w:styleId="Style_31_ch" w:type="character">
    <w:name w:val="Основной шрифт абзаца1"/>
    <w:link w:val="Style_31"/>
  </w:style>
  <w:style w:styleId="Style_64" w:type="paragraph">
    <w:name w:val="Balloon Text"/>
    <w:basedOn w:val="Style_5"/>
    <w:link w:val="Style_64_ch"/>
    <w:pPr>
      <w:spacing w:after="0" w:line="240" w:lineRule="auto"/>
      <w:ind/>
    </w:pPr>
    <w:rPr>
      <w:rFonts w:ascii="Segoe UI" w:hAnsi="Segoe UI"/>
      <w:sz w:val="18"/>
    </w:rPr>
  </w:style>
  <w:style w:styleId="Style_64_ch" w:type="character">
    <w:name w:val="Balloon Text"/>
    <w:basedOn w:val="Style_5_ch"/>
    <w:link w:val="Style_64"/>
    <w:rPr>
      <w:rFonts w:ascii="Segoe UI" w:hAnsi="Segoe UI"/>
      <w:sz w:val="18"/>
    </w:rPr>
  </w:style>
  <w:style w:styleId="Style_3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" w:type="table">
    <w:name w:val="Сетка таблицы1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2025-06-26T03:44:16Z</dcterms:modified>
</cp:coreProperties>
</file>