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6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от 24.06.2025 № 5411-П</w:t>
      </w:r>
    </w:p>
    <w:p w14:paraId="09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B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E00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0F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2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физкультурно-массовой работы с населением»</w:t>
      </w:r>
    </w:p>
    <w:p w14:paraId="13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4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7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8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3 - 29 лет, систематически занимающихся физической культурой и спортом, в общей численности граждан </w:t>
            </w:r>
            <w:r>
              <w:rPr>
                <w:rFonts w:ascii="Times New Roman" w:hAnsi="Times New Roman"/>
              </w:rPr>
              <w:t>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93,35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53,97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59,97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</w:t>
            </w:r>
            <w:r>
              <w:rPr>
                <w:rFonts w:ascii="Times New Roman" w:hAnsi="Times New Roman"/>
              </w:rPr>
              <w:t>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31,72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20,57</w:t>
            </w:r>
          </w:p>
        </w:tc>
      </w:tr>
    </w:tbl>
    <w:p w14:paraId="6D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</w:tbl>
    <w:p w14:paraId="EF00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F0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2"/>
        <w:gridCol w:w="3312"/>
        <w:gridCol w:w="1232"/>
        <w:gridCol w:w="2849"/>
        <w:gridCol w:w="2256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2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126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28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официальных спортивных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спортивных мероприятий, включенных в </w:t>
            </w:r>
            <w:r>
              <w:rPr>
                <w:rFonts w:ascii="Times New Roman" w:hAnsi="Times New Roman"/>
              </w:rPr>
              <w:t>календарный план спортивных мероприятий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</w:tr>
      <w:tr>
        <w:trPr>
          <w:trHeight w:hRule="atLeast" w:val="75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highlight w:val="white"/>
              </w:rPr>
              <w:t>по различным видам </w:t>
            </w:r>
            <w:r>
              <w:rPr>
                <w:rFonts w:ascii="Times New Roman" w:hAnsi="Times New Roman"/>
                <w:highlight w:val="white"/>
              </w:rPr>
              <w:t>спорта</w:t>
            </w:r>
            <w:r>
              <w:rPr>
                <w:rFonts w:ascii="Times New Roman" w:hAnsi="Times New Roman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педагогических работников и </w:t>
            </w:r>
            <w:r>
              <w:rPr>
                <w:rFonts w:ascii="Times New Roman" w:hAnsi="Times New Roman"/>
              </w:rPr>
              <w:t>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повышение </w:t>
            </w:r>
            <w:r>
              <w:rPr>
                <w:rFonts w:ascii="Times New Roman" w:hAnsi="Times New Roman"/>
              </w:rPr>
              <w:t>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</w:t>
            </w:r>
            <w:r>
              <w:rPr>
                <w:rFonts w:ascii="Times New Roman" w:hAnsi="Times New Roman"/>
              </w:rPr>
              <w:t>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71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оказание услуг (выполнение работ) по подготовке и содержанию тюбинговых и лыжных трасс </w:t>
            </w:r>
            <w:r>
              <w:rPr>
                <w:rFonts w:ascii="Times New Roman" w:hAnsi="Times New Roman"/>
              </w:rPr>
              <w:t>(склонов)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120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</w:t>
            </w:r>
            <w:r>
              <w:rPr>
                <w:rFonts w:ascii="Times New Roman" w:hAnsi="Times New Roman"/>
              </w:rPr>
              <w:t>выполнение работ (Парк «Южный»)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Приобретение, изготовление и монтаж основных средств и предметов длительного пользования, материальных 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3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</w:t>
            </w:r>
            <w:r>
              <w:rPr>
                <w:rFonts w:ascii="Times New Roman" w:hAnsi="Times New Roman"/>
              </w:rPr>
              <w:t>в Магнитки)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2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4802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49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5" w:tblpY="136" w:topFromText="0" w:vertAnchor="text"/>
        <w:tblW w:type="auto" w:w="0"/>
        <w:tblLayout w:type="fixed"/>
      </w:tblPr>
      <w:tblGrid>
        <w:gridCol w:w="5240"/>
        <w:gridCol w:w="1417"/>
        <w:gridCol w:w="1276"/>
        <w:gridCol w:w="1418"/>
        <w:gridCol w:w="1275"/>
        <w:gridCol w:w="1418"/>
        <w:gridCol w:w="1559"/>
        <w:gridCol w:w="1305"/>
      </w:tblGrid>
      <w:tr>
        <w:tc>
          <w:tcPr>
            <w:tcW w:type="dxa" w:w="5240"/>
            <w:vMerge w:val="restart"/>
          </w:tcPr>
          <w:p w14:paraId="4A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4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51"/>
            <w:gridSpan w:val="6"/>
          </w:tcPr>
          <w:p w14:paraId="4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4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vAlign w:val="center"/>
          </w:tcPr>
          <w:p w14:paraId="4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vAlign w:val="center"/>
          </w:tcPr>
          <w:p w14:paraId="5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5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5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305"/>
          </w:tcPr>
          <w:p w14:paraId="5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5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5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vAlign w:val="center"/>
          </w:tcPr>
          <w:p w14:paraId="5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5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vAlign w:val="center"/>
          </w:tcPr>
          <w:p w14:paraId="5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5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5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5"/>
          </w:tcPr>
          <w:p w14:paraId="5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5C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vAlign w:val="center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162 107,04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418"/>
            <w:vAlign w:val="center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75"/>
            <w:vAlign w:val="center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418"/>
            <w:vAlign w:val="center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559"/>
            <w:vAlign w:val="center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305"/>
            <w:vAlign w:val="center"/>
          </w:tcPr>
          <w:p w14:paraId="6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921 995,61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64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vAlign w:val="center"/>
          </w:tcPr>
          <w:p w14:paraId="6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6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6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6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6B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6C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vAlign w:val="center"/>
          </w:tcPr>
          <w:p w14:paraId="6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6"/>
            <w:vAlign w:val="center"/>
          </w:tcPr>
          <w:p w14:paraId="6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418"/>
            <w:vAlign w:val="center"/>
          </w:tcPr>
          <w:p w14:paraId="6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5"/>
            <w:vAlign w:val="center"/>
          </w:tcPr>
          <w:p w14:paraId="7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418"/>
            <w:vAlign w:val="center"/>
          </w:tcPr>
          <w:p w14:paraId="7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59"/>
            <w:vAlign w:val="center"/>
          </w:tcPr>
          <w:p w14:paraId="7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05"/>
            <w:vAlign w:val="center"/>
          </w:tcPr>
          <w:p w14:paraId="7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62 517,39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74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vAlign w:val="center"/>
          </w:tcPr>
          <w:p w14:paraId="7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151 651,31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7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418"/>
            <w:vAlign w:val="center"/>
          </w:tcPr>
          <w:p w14:paraId="7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75"/>
            <w:vAlign w:val="center"/>
          </w:tcPr>
          <w:p w14:paraId="7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418"/>
            <w:vAlign w:val="center"/>
          </w:tcPr>
          <w:p w14:paraId="7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559"/>
            <w:vAlign w:val="center"/>
          </w:tcPr>
          <w:p w14:paraId="7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305"/>
            <w:vAlign w:val="center"/>
          </w:tcPr>
          <w:p w14:paraId="7B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859 478,22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7C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vAlign w:val="center"/>
          </w:tcPr>
          <w:p w14:paraId="7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7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7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8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8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8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8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84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85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86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4"/>
        <w:gridCol w:w="5305"/>
        <w:gridCol w:w="3866"/>
        <w:gridCol w:w="2251"/>
        <w:gridCol w:w="2272"/>
      </w:tblGrid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оказания муниципальных услуг (выполнение </w:t>
            </w:r>
            <w:r>
              <w:rPr>
                <w:rFonts w:ascii="Times New Roman" w:hAnsi="Times New Roman"/>
              </w:rPr>
              <w:t>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Утверждено 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услуг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>Оплата товаров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Контракты/ акты/ 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порядке и условиях предоставления субсидии на иные цели, не связанные с финансовым обеспечением </w:t>
            </w:r>
            <w:r>
              <w:rPr>
                <w:rFonts w:ascii="Times New Roman" w:hAnsi="Times New Roman"/>
              </w:rPr>
              <w:t>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1.17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</w:t>
            </w:r>
            <w:r>
              <w:rPr>
                <w:rFonts w:ascii="Times New Roman" w:hAnsi="Times New Roman"/>
              </w:rPr>
              <w:t>содержанию имущества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Заключенное соглашение о </w:t>
            </w:r>
            <w:r>
              <w:rPr>
                <w:rFonts w:ascii="Times New Roman" w:hAnsi="Times New Roman"/>
              </w:rPr>
              <w:t>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Заключенные </w:t>
            </w:r>
            <w:r>
              <w:rPr>
                <w:rFonts w:ascii="Times New Roman" w:hAnsi="Times New Roman"/>
              </w:rPr>
              <w:t>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риобретение, изготовление и монтаж основных средств и предметов длительного пользования, материальных 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</w:t>
            </w:r>
            <w:r>
              <w:rPr>
                <w:rFonts w:ascii="Times New Roman" w:hAnsi="Times New Roman"/>
              </w:rPr>
              <w:t>, корчевание деревьев и кустарников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1.28.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6E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F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0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1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образовательных программ спортивной подготовки»</w:t>
      </w:r>
    </w:p>
    <w:p w14:paraId="72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73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6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77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8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9A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9B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9C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9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</w:t>
            </w:r>
            <w:r>
              <w:rPr>
                <w:rFonts w:ascii="Times New Roman" w:hAnsi="Times New Roman"/>
              </w:rPr>
              <w:t>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A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CF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D0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10"/>
        <w:gridCol w:w="1188"/>
        <w:gridCol w:w="3396"/>
        <w:gridCol w:w="2092"/>
        <w:gridCol w:w="729"/>
        <w:gridCol w:w="729"/>
        <w:gridCol w:w="729"/>
        <w:gridCol w:w="729"/>
        <w:gridCol w:w="729"/>
        <w:gridCol w:w="729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3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7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68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адаптивным видам спорта. Спорт </w:t>
            </w:r>
            <w:r>
              <w:rPr>
                <w:rFonts w:ascii="Times New Roman" w:hAnsi="Times New Roman"/>
              </w:rPr>
              <w:t>лиц с интеллектуальными нарушениями.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</w:t>
            </w:r>
            <w:r>
              <w:rPr>
                <w:rFonts w:ascii="Times New Roman" w:hAnsi="Times New Roman"/>
              </w:rPr>
              <w:t>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рофессиональн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гигиеническ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</w:t>
            </w:r>
            <w:r>
              <w:rPr>
                <w:rFonts w:ascii="Times New Roman" w:hAnsi="Times New Roman"/>
              </w:rPr>
              <w:t>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оплату за технологическое подключение (присоединение) к сетям газораспределения, водоснабжения, канализации, электрическим и тепловым сетям; </w:t>
            </w:r>
            <w:r>
              <w:rPr>
                <w:rFonts w:ascii="Times New Roman" w:hAnsi="Times New Roman"/>
              </w:rPr>
              <w:t>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49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финансовую 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322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3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11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14:paraId="C605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C7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070"/>
        <w:gridCol w:w="1417"/>
        <w:gridCol w:w="1448"/>
        <w:gridCol w:w="1245"/>
        <w:gridCol w:w="1276"/>
        <w:gridCol w:w="1276"/>
        <w:gridCol w:w="1417"/>
        <w:gridCol w:w="1974"/>
      </w:tblGrid>
      <w:tr>
        <w:tc>
          <w:tcPr>
            <w:tcW w:type="dxa" w:w="5070"/>
            <w:vMerge w:val="restart"/>
          </w:tcPr>
          <w:p w14:paraId="C8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C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6"/>
            <w:gridSpan w:val="6"/>
          </w:tcPr>
          <w:p w14:paraId="C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7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C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48"/>
            <w:vAlign w:val="center"/>
          </w:tcPr>
          <w:p w14:paraId="C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45"/>
            <w:vAlign w:val="center"/>
          </w:tcPr>
          <w:p w14:paraId="C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C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</w:tcPr>
          <w:p w14:paraId="C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D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74"/>
          </w:tcPr>
          <w:p w14:paraId="D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070"/>
            <w:vAlign w:val="center"/>
          </w:tcPr>
          <w:p w14:paraId="D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D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48"/>
            <w:vAlign w:val="center"/>
          </w:tcPr>
          <w:p w14:paraId="D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5"/>
            <w:vAlign w:val="center"/>
          </w:tcPr>
          <w:p w14:paraId="D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D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</w:tcPr>
          <w:p w14:paraId="D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D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74"/>
          </w:tcPr>
          <w:p w14:paraId="D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5070"/>
          </w:tcPr>
          <w:p w14:paraId="D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377 431</w:t>
            </w:r>
            <w:r>
              <w:rPr>
                <w:rFonts w:ascii="Times New Roman" w:hAnsi="Times New Roman"/>
                <w:color w:val="000000"/>
              </w:rPr>
              <w:t>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9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1 889 765,42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070"/>
          </w:tcPr>
          <w:p w14:paraId="E2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070"/>
          </w:tcPr>
          <w:p w14:paraId="E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5070"/>
          </w:tcPr>
          <w:p w14:paraId="F2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371 446,37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287 696,81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853 856,38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070"/>
          </w:tcPr>
          <w:p w14:paraId="F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02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3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406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506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 выполнена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Оплата единовременного поощрения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</w:t>
            </w:r>
            <w:r>
              <w:rPr>
                <w:rFonts w:ascii="Times New Roman" w:hAnsi="Times New Roman"/>
              </w:rPr>
              <w:t>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дополнительные 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5C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D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E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F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0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1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2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3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4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5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6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7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8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9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A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B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C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D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E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F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0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1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2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3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4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5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6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7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8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9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A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B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C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D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E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общеразвивающих программ в области физической культуры и спорта»</w:t>
      </w:r>
    </w:p>
    <w:p w14:paraId="7F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80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830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84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85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A7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8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A9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A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B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DC07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DD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7"/>
        <w:gridCol w:w="2365"/>
        <w:gridCol w:w="1364"/>
        <w:gridCol w:w="2945"/>
        <w:gridCol w:w="2743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4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человеко-час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0108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02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7196"/>
        <w:gridCol w:w="1125"/>
        <w:gridCol w:w="993"/>
        <w:gridCol w:w="1275"/>
        <w:gridCol w:w="993"/>
        <w:gridCol w:w="992"/>
        <w:gridCol w:w="1134"/>
        <w:gridCol w:w="1730"/>
      </w:tblGrid>
      <w:tr>
        <w:tc>
          <w:tcPr>
            <w:tcW w:type="dxa" w:w="7196"/>
            <w:vMerge w:val="restart"/>
          </w:tcPr>
          <w:p w14:paraId="03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25"/>
          </w:tcPr>
          <w:p w14:paraId="0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117"/>
            <w:gridSpan w:val="6"/>
          </w:tcPr>
          <w:p w14:paraId="0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7196"/>
            <w:gridSpan w:val="1"/>
            <w:vMerge w:val="continue"/>
          </w:tcPr>
          <w:p/>
        </w:tc>
        <w:tc>
          <w:tcPr>
            <w:tcW w:type="dxa" w:w="1125"/>
            <w:vAlign w:val="center"/>
          </w:tcPr>
          <w:p w14:paraId="0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vAlign w:val="center"/>
          </w:tcPr>
          <w:p w14:paraId="0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0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vAlign w:val="center"/>
          </w:tcPr>
          <w:p w14:paraId="0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</w:tcPr>
          <w:p w14:paraId="0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</w:tcPr>
          <w:p w14:paraId="0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0"/>
          </w:tcPr>
          <w:p w14:paraId="0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7196"/>
            <w:vAlign w:val="center"/>
          </w:tcPr>
          <w:p w14:paraId="0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25"/>
            <w:vAlign w:val="center"/>
          </w:tcPr>
          <w:p w14:paraId="0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vAlign w:val="center"/>
          </w:tcPr>
          <w:p w14:paraId="0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vAlign w:val="center"/>
          </w:tcPr>
          <w:p w14:paraId="1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vAlign w:val="center"/>
          </w:tcPr>
          <w:p w14:paraId="1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</w:tcPr>
          <w:p w14:paraId="1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</w:tcPr>
          <w:p w14:paraId="1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30"/>
          </w:tcPr>
          <w:p w14:paraId="1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7196"/>
          </w:tcPr>
          <w:p w14:paraId="15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1D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25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2D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35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3D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E08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3F08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1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</w:t>
            </w:r>
            <w:r>
              <w:rPr>
                <w:rFonts w:ascii="Times New Roman" w:hAnsi="Times New Roman"/>
              </w:rPr>
              <w:t>ждено</w:t>
            </w:r>
            <w:r>
              <w:rPr>
                <w:rFonts w:ascii="Times New Roman" w:hAnsi="Times New Roman"/>
              </w:rPr>
              <w:t xml:space="preserve">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</w:tbl>
    <w:p w14:paraId="60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1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2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3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4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5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6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67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68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«Сопровождение деятельности учреждений»</w:t>
      </w:r>
    </w:p>
    <w:p w14:paraId="69080000">
      <w:pPr>
        <w:widowControl w:val="0"/>
        <w:spacing w:after="0" w:line="228" w:lineRule="auto"/>
        <w:ind/>
        <w:jc w:val="both"/>
        <w:rPr>
          <w:rFonts w:ascii="Times New Roman" w:hAnsi="Times New Roman"/>
          <w:sz w:val="18"/>
        </w:rPr>
      </w:pPr>
    </w:p>
    <w:p w14:paraId="6A08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D080000">
      <w:pPr>
        <w:widowControl w:val="0"/>
        <w:spacing w:after="0" w:line="228" w:lineRule="auto"/>
        <w:ind w:firstLine="720" w:left="0"/>
        <w:jc w:val="both"/>
        <w:rPr>
          <w:rFonts w:ascii="Times New Roman" w:hAnsi="Times New Roman"/>
        </w:rPr>
      </w:pPr>
    </w:p>
    <w:p w14:paraId="6E080000">
      <w:pPr>
        <w:widowControl w:val="0"/>
        <w:spacing w:after="0" w:line="228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6F080000">
      <w:pPr>
        <w:widowControl w:val="0"/>
        <w:spacing w:after="0" w:line="228" w:lineRule="auto"/>
        <w:ind/>
        <w:jc w:val="both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widowControl w:val="0"/>
              <w:spacing w:after="0"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widowControl w:val="0"/>
              <w:spacing w:after="0"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91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</w:p>
    <w:p w14:paraId="92080000">
      <w:pPr>
        <w:widowControl w:val="0"/>
        <w:spacing w:after="0" w:line="228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93080000">
      <w:pPr>
        <w:widowControl w:val="0"/>
        <w:spacing w:after="0" w:line="228" w:lineRule="auto"/>
        <w:ind/>
        <w:jc w:val="center"/>
        <w:rPr>
          <w:rFonts w:ascii="Times New Roman" w:hAnsi="Times New Roman"/>
          <w:sz w:val="10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95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9A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1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pStyle w:val="Style_4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4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C6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</w:t>
      </w:r>
      <w:bookmarkStart w:id="1" w:name="_GoBack"/>
      <w:bookmarkEnd w:id="1"/>
      <w:r>
        <w:rPr>
          <w:rFonts w:ascii="Times New Roman" w:hAnsi="Times New Roman"/>
        </w:rPr>
        <w:t>плекса процессных мероприятий</w:t>
      </w:r>
    </w:p>
    <w:p w14:paraId="C7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3063"/>
        <w:gridCol w:w="1305"/>
        <w:gridCol w:w="2334"/>
        <w:gridCol w:w="1806"/>
        <w:gridCol w:w="1010"/>
        <w:gridCol w:w="1129"/>
        <w:gridCol w:w="1095"/>
        <w:gridCol w:w="1010"/>
        <w:gridCol w:w="1134"/>
        <w:gridCol w:w="1004"/>
      </w:tblGrid>
      <w:tr>
        <w:tc>
          <w:tcPr>
            <w:tcW w:type="dxa" w:w="4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8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536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20 673,24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29 826,0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</w:tr>
    </w:tbl>
    <w:p w14:paraId="EB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C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091"/>
        <w:gridCol w:w="1266"/>
        <w:gridCol w:w="1096"/>
        <w:gridCol w:w="1096"/>
        <w:gridCol w:w="1096"/>
        <w:gridCol w:w="1096"/>
        <w:gridCol w:w="1130"/>
        <w:gridCol w:w="2159"/>
      </w:tblGrid>
      <w:tr>
        <w:tc>
          <w:tcPr>
            <w:tcW w:type="dxa" w:w="6091"/>
            <w:vMerge w:val="restart"/>
          </w:tcPr>
          <w:p w14:paraId="ED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66"/>
          </w:tcPr>
          <w:p w14:paraId="E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73"/>
            <w:gridSpan w:val="6"/>
          </w:tcPr>
          <w:p w14:paraId="E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1"/>
            <w:gridSpan w:val="1"/>
            <w:vMerge w:val="continue"/>
          </w:tcPr>
          <w:p/>
        </w:tc>
        <w:tc>
          <w:tcPr>
            <w:tcW w:type="dxa" w:w="1266"/>
            <w:vAlign w:val="center"/>
          </w:tcPr>
          <w:p w14:paraId="F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6"/>
            <w:vAlign w:val="center"/>
          </w:tcPr>
          <w:p w14:paraId="F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6"/>
            <w:vAlign w:val="center"/>
          </w:tcPr>
          <w:p w14:paraId="F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96"/>
            <w:vAlign w:val="center"/>
          </w:tcPr>
          <w:p w14:paraId="F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96"/>
          </w:tcPr>
          <w:p w14:paraId="F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</w:tcPr>
          <w:p w14:paraId="F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59"/>
          </w:tcPr>
          <w:p w14:paraId="F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1"/>
            <w:vAlign w:val="center"/>
          </w:tcPr>
          <w:p w14:paraId="F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66"/>
            <w:vAlign w:val="center"/>
          </w:tcPr>
          <w:p w14:paraId="F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6"/>
            <w:vAlign w:val="center"/>
          </w:tcPr>
          <w:p w14:paraId="F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96"/>
            <w:vAlign w:val="center"/>
          </w:tcPr>
          <w:p w14:paraId="F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96"/>
            <w:vAlign w:val="center"/>
          </w:tcPr>
          <w:p w14:paraId="F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6"/>
          </w:tcPr>
          <w:p w14:paraId="F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0"/>
          </w:tcPr>
          <w:p w14:paraId="F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59"/>
          </w:tcPr>
          <w:p w14:paraId="F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1"/>
          </w:tcPr>
          <w:p w14:paraId="FF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29 826,00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173 617,35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6091"/>
          </w:tcPr>
          <w:p w14:paraId="07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0F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17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29 826,00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173 617,35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c>
          <w:tcPr>
            <w:tcW w:type="dxa" w:w="6091"/>
          </w:tcPr>
          <w:p w14:paraId="1F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27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2809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</w:t>
            </w:r>
            <w:r>
              <w:rPr>
                <w:rFonts w:ascii="Times New Roman" w:hAnsi="Times New Roman"/>
              </w:rPr>
              <w:t>енная смета</w:t>
            </w:r>
            <w:r>
              <w:rPr>
                <w:rFonts w:ascii="Times New Roman" w:hAnsi="Times New Roman"/>
              </w:rPr>
              <w:t xml:space="preserve">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</w:t>
            </w:r>
            <w:r>
              <w:rPr>
                <w:rFonts w:ascii="Times New Roman" w:hAnsi="Times New Roman"/>
              </w:rPr>
              <w:t xml:space="preserve">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44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5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6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47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48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9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4C09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4D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E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</w:t>
            </w:r>
            <w:r>
              <w:rPr>
                <w:rFonts w:ascii="Times New Roman" w:hAnsi="Times New Roman"/>
              </w:rPr>
              <w:t>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70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1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2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A5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A6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A7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2"/>
        <w:gridCol w:w="2632"/>
        <w:gridCol w:w="1197"/>
        <w:gridCol w:w="2367"/>
        <w:gridCol w:w="2033"/>
        <w:gridCol w:w="1049"/>
        <w:gridCol w:w="1134"/>
        <w:gridCol w:w="1134"/>
        <w:gridCol w:w="1043"/>
        <w:gridCol w:w="1120"/>
        <w:gridCol w:w="1133"/>
      </w:tblGrid>
      <w:tr>
        <w:tc>
          <w:tcPr>
            <w:tcW w:type="dxa" w:w="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13 719,07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21 191,49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16 759,55</w:t>
            </w:r>
          </w:p>
        </w:tc>
      </w:tr>
    </w:tbl>
    <w:p w14:paraId="CB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807"/>
        <w:gridCol w:w="1417"/>
        <w:gridCol w:w="1134"/>
        <w:gridCol w:w="1276"/>
        <w:gridCol w:w="1134"/>
        <w:gridCol w:w="1134"/>
        <w:gridCol w:w="1131"/>
        <w:gridCol w:w="1875"/>
      </w:tblGrid>
      <w:tr>
        <w:tc>
          <w:tcPr>
            <w:tcW w:type="dxa" w:w="5807"/>
            <w:vMerge w:val="restart"/>
          </w:tcPr>
          <w:p w14:paraId="CC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C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84"/>
            <w:gridSpan w:val="6"/>
          </w:tcPr>
          <w:p w14:paraId="C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07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C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vAlign w:val="center"/>
          </w:tcPr>
          <w:p w14:paraId="D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D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vAlign w:val="center"/>
          </w:tcPr>
          <w:p w14:paraId="D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</w:tcPr>
          <w:p w14:paraId="D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1"/>
          </w:tcPr>
          <w:p w14:paraId="D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75"/>
          </w:tcPr>
          <w:p w14:paraId="D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807"/>
            <w:vAlign w:val="center"/>
          </w:tcPr>
          <w:p w14:paraId="D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D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vAlign w:val="center"/>
          </w:tcPr>
          <w:p w14:paraId="D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D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vAlign w:val="center"/>
          </w:tcPr>
          <w:p w14:paraId="D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</w:tcPr>
          <w:p w14:paraId="D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1"/>
          </w:tcPr>
          <w:p w14:paraId="D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75"/>
          </w:tcPr>
          <w:p w14:paraId="D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807"/>
          </w:tcPr>
          <w:p w14:paraId="DE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21 191,49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104 989,19</w:t>
            </w:r>
          </w:p>
        </w:tc>
      </w:tr>
      <w:tr>
        <w:tc>
          <w:tcPr>
            <w:tcW w:type="dxa" w:w="5807"/>
          </w:tcPr>
          <w:p w14:paraId="E6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EE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F6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21 191,49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104 989,19</w:t>
            </w:r>
          </w:p>
        </w:tc>
      </w:tr>
      <w:tr>
        <w:tc>
          <w:tcPr>
            <w:tcW w:type="dxa" w:w="5807"/>
          </w:tcPr>
          <w:p w14:paraId="FE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A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06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07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080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A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A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A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A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A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240A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250A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1100" w:right="79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Balloon Text"/>
    <w:basedOn w:val="Style_6"/>
    <w:link w:val="Style_9_ch"/>
    <w:pPr>
      <w:widowControl w:val="0"/>
      <w:spacing w:after="0" w:line="240" w:lineRule="auto"/>
      <w:ind w:firstLine="720" w:left="0"/>
      <w:jc w:val="both"/>
    </w:pPr>
    <w:rPr>
      <w:rFonts w:ascii="Segoe UI" w:hAnsi="Segoe UI"/>
      <w:sz w:val="18"/>
    </w:rPr>
  </w:style>
  <w:style w:styleId="Style_9_ch" w:type="character">
    <w:name w:val="Balloon Text"/>
    <w:basedOn w:val="Style_6_ch"/>
    <w:link w:val="Style_9"/>
    <w:rPr>
      <w:rFonts w:ascii="Segoe UI" w:hAnsi="Segoe UI"/>
      <w:sz w:val="18"/>
    </w:rPr>
  </w:style>
  <w:style w:styleId="Style_10" w:type="paragraph">
    <w:name w:val="annotation reference"/>
    <w:basedOn w:val="Style_7"/>
    <w:link w:val="Style_10_ch"/>
    <w:rPr>
      <w:sz w:val="16"/>
    </w:rPr>
  </w:style>
  <w:style w:styleId="Style_10_ch" w:type="character">
    <w:name w:val="annotation reference"/>
    <w:basedOn w:val="Style_7_ch"/>
    <w:link w:val="Style_10"/>
    <w:rPr>
      <w:sz w:val="16"/>
    </w:rPr>
  </w:style>
  <w:style w:styleId="Style_11" w:type="paragraph">
    <w:name w:val="footer"/>
    <w:basedOn w:val="Style_6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6_ch"/>
    <w:link w:val="Style_11"/>
  </w:style>
  <w:style w:styleId="Style_12" w:type="paragraph">
    <w:name w:val="toc 4"/>
    <w:next w:val="Style_6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6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6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Комментарий"/>
    <w:basedOn w:val="Style_16"/>
    <w:next w:val="Style_6"/>
    <w:link w:val="Style_15_ch"/>
    <w:pPr>
      <w:spacing w:before="75"/>
      <w:ind w:right="0"/>
      <w:jc w:val="both"/>
    </w:pPr>
    <w:rPr>
      <w:color w:val="353842"/>
      <w:shd w:fill="F0F0F0" w:val="clear"/>
    </w:rPr>
  </w:style>
  <w:style w:styleId="Style_15_ch" w:type="character">
    <w:name w:val="Комментарий"/>
    <w:basedOn w:val="Style_16_ch"/>
    <w:link w:val="Style_15"/>
    <w:rPr>
      <w:color w:val="353842"/>
      <w:shd w:fill="F0F0F0" w:val="clear"/>
    </w:rPr>
  </w:style>
  <w:style w:styleId="Style_17" w:type="paragraph">
    <w:name w:val="Прижатый влево"/>
    <w:basedOn w:val="Style_6"/>
    <w:next w:val="Style_6"/>
    <w:link w:val="Style_17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7_ch" w:type="character">
    <w:name w:val="Прижатый влево"/>
    <w:basedOn w:val="Style_6_ch"/>
    <w:link w:val="Style_17"/>
    <w:rPr>
      <w:rFonts w:ascii="Arial" w:hAnsi="Arial"/>
      <w:sz w:val="24"/>
    </w:rPr>
  </w:style>
  <w:style w:styleId="Style_18" w:type="paragraph">
    <w:name w:val="Emphasis"/>
    <w:basedOn w:val="Style_7"/>
    <w:link w:val="Style_18_ch"/>
    <w:rPr>
      <w:i w:val="1"/>
    </w:rPr>
  </w:style>
  <w:style w:styleId="Style_18_ch" w:type="character">
    <w:name w:val="Emphasis"/>
    <w:basedOn w:val="Style_7_ch"/>
    <w:link w:val="Style_18"/>
    <w:rPr>
      <w:i w:val="1"/>
    </w:rPr>
  </w:style>
  <w:style w:styleId="Style_19" w:type="paragraph">
    <w:name w:val="annotation text"/>
    <w:basedOn w:val="Style_6"/>
    <w:link w:val="Style_19_ch"/>
    <w:pPr>
      <w:spacing w:line="240" w:lineRule="auto"/>
      <w:ind/>
    </w:pPr>
    <w:rPr>
      <w:sz w:val="20"/>
    </w:rPr>
  </w:style>
  <w:style w:styleId="Style_19_ch" w:type="character">
    <w:name w:val="annotation text"/>
    <w:basedOn w:val="Style_6_ch"/>
    <w:link w:val="Style_19"/>
    <w:rPr>
      <w:sz w:val="20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6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Цветовое выделение для Текст"/>
    <w:link w:val="Style_22_ch"/>
  </w:style>
  <w:style w:styleId="Style_22_ch" w:type="character">
    <w:name w:val="Цветовое выделение для Текст"/>
    <w:link w:val="Style_22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3" w:type="paragraph">
    <w:name w:val="Текст информации об изменениях"/>
    <w:basedOn w:val="Style_6"/>
    <w:next w:val="Style_6"/>
    <w:link w:val="Style_23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23_ch" w:type="character">
    <w:name w:val="Текст информации об изменениях"/>
    <w:basedOn w:val="Style_6_ch"/>
    <w:link w:val="Style_23"/>
    <w:rPr>
      <w:rFonts w:ascii="Arial" w:hAnsi="Arial"/>
      <w:color w:val="353842"/>
      <w:sz w:val="18"/>
    </w:rPr>
  </w:style>
  <w:style w:styleId="Style_24" w:type="paragraph">
    <w:name w:val="Гипертекстовая ссылка"/>
    <w:basedOn w:val="Style_25"/>
    <w:link w:val="Style_24_ch"/>
    <w:rPr>
      <w:b w:val="0"/>
      <w:color w:val="106BBE"/>
    </w:rPr>
  </w:style>
  <w:style w:styleId="Style_24_ch" w:type="character">
    <w:name w:val="Гипертекстовая ссылка"/>
    <w:basedOn w:val="Style_25_ch"/>
    <w:link w:val="Style_24"/>
    <w:rPr>
      <w:b w:val="0"/>
      <w:color w:val="106BBE"/>
    </w:rPr>
  </w:style>
  <w:style w:styleId="Style_2" w:type="paragraph">
    <w:name w:val="Нижний колонтитул1"/>
    <w:basedOn w:val="Style_6"/>
    <w:next w:val="Style_11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Нижний колонтитул1"/>
    <w:basedOn w:val="Style_6_ch"/>
    <w:link w:val="Style_2"/>
  </w:style>
  <w:style w:styleId="Style_26" w:type="paragraph">
    <w:name w:val="Таблицы (моноширинный)"/>
    <w:basedOn w:val="Style_6"/>
    <w:next w:val="Style_6"/>
    <w:link w:val="Style_26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26_ch" w:type="character">
    <w:name w:val="Таблицы (моноширинный)"/>
    <w:basedOn w:val="Style_6_ch"/>
    <w:link w:val="Style_26"/>
    <w:rPr>
      <w:rFonts w:ascii="Courier New" w:hAnsi="Courier New"/>
      <w:sz w:val="24"/>
    </w:rPr>
  </w:style>
  <w:style w:styleId="Style_27" w:type="paragraph">
    <w:name w:val="toc 3"/>
    <w:next w:val="Style_6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annotation subject"/>
    <w:basedOn w:val="Style_19"/>
    <w:next w:val="Style_19"/>
    <w:link w:val="Style_28_ch"/>
    <w:rPr>
      <w:b w:val="1"/>
    </w:rPr>
  </w:style>
  <w:style w:styleId="Style_28_ch" w:type="character">
    <w:name w:val="annotation subject"/>
    <w:basedOn w:val="Style_19_ch"/>
    <w:link w:val="Style_28"/>
    <w:rPr>
      <w:b w:val="1"/>
    </w:rPr>
  </w:style>
  <w:style w:styleId="Style_29" w:type="paragraph">
    <w:name w:val="heading 5"/>
    <w:next w:val="Style_6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basedOn w:val="Style_6"/>
    <w:next w:val="Style_6"/>
    <w:link w:val="Style_3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0_ch" w:type="character">
    <w:name w:val="heading 1"/>
    <w:basedOn w:val="Style_6_ch"/>
    <w:link w:val="Style_30"/>
    <w:rPr>
      <w:rFonts w:ascii="Arial" w:hAnsi="Arial"/>
      <w:b w:val="1"/>
      <w:color w:val="26282F"/>
      <w:sz w:val="24"/>
    </w:rPr>
  </w:style>
  <w:style w:styleId="Style_31" w:type="paragraph">
    <w:name w:val="List Paragraph"/>
    <w:basedOn w:val="Style_6"/>
    <w:link w:val="Style_31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31_ch" w:type="character">
    <w:name w:val="List Paragraph"/>
    <w:basedOn w:val="Style_6_ch"/>
    <w:link w:val="Style_31"/>
    <w:rPr>
      <w:rFonts w:ascii="Arial" w:hAnsi="Arial"/>
      <w:sz w:val="24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ConsPlusTitle"/>
    <w:link w:val="Style_34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4_ch" w:type="character">
    <w:name w:val="ConsPlusTitle"/>
    <w:link w:val="Style_34"/>
    <w:rPr>
      <w:rFonts w:ascii="Calibri" w:hAnsi="Calibri"/>
      <w:b w:val="1"/>
    </w:rPr>
  </w:style>
  <w:style w:styleId="Style_35" w:type="paragraph">
    <w:name w:val="toc 1"/>
    <w:next w:val="Style_6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16" w:type="paragraph">
    <w:name w:val="Текст (справка)"/>
    <w:basedOn w:val="Style_6"/>
    <w:next w:val="Style_6"/>
    <w:link w:val="Style_16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16_ch" w:type="character">
    <w:name w:val="Текст (справка)"/>
    <w:basedOn w:val="Style_6_ch"/>
    <w:link w:val="Style_16"/>
    <w:rPr>
      <w:rFonts w:ascii="Arial" w:hAnsi="Arial"/>
      <w:sz w:val="24"/>
    </w:rPr>
  </w:style>
  <w:style w:styleId="Style_36" w:type="paragraph">
    <w:name w:val="Нормальный (таблица)"/>
    <w:basedOn w:val="Style_6"/>
    <w:next w:val="Style_6"/>
    <w:link w:val="Style_36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6_ch" w:type="character">
    <w:name w:val="Нормальный (таблица)"/>
    <w:basedOn w:val="Style_6_ch"/>
    <w:link w:val="Style_36"/>
    <w:rPr>
      <w:rFonts w:ascii="Arial" w:hAnsi="Arial"/>
      <w:sz w:val="24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toc 9"/>
    <w:next w:val="Style_6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Информация об изменениях"/>
    <w:basedOn w:val="Style_23"/>
    <w:next w:val="Style_6"/>
    <w:link w:val="Style_39_ch"/>
    <w:pPr>
      <w:spacing w:before="180"/>
      <w:ind w:firstLine="0" w:left="360" w:right="360"/>
    </w:pPr>
    <w:rPr>
      <w:shd w:fill="EAEFED" w:val="clear"/>
    </w:rPr>
  </w:style>
  <w:style w:styleId="Style_39_ch" w:type="character">
    <w:name w:val="Информация об изменениях"/>
    <w:basedOn w:val="Style_23_ch"/>
    <w:link w:val="Style_39"/>
    <w:rPr>
      <w:shd w:fill="EAEFED" w:val="clear"/>
    </w:rPr>
  </w:style>
  <w:style w:styleId="Style_40" w:type="paragraph">
    <w:name w:val="toc 8"/>
    <w:next w:val="Style_6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Верхний колонтитул1"/>
    <w:basedOn w:val="Style_6"/>
    <w:next w:val="Style_1"/>
    <w:link w:val="Style_4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1_ch" w:type="character">
    <w:name w:val="Верхний колонтитул1"/>
    <w:basedOn w:val="Style_6_ch"/>
    <w:link w:val="Style_41"/>
  </w:style>
  <w:style w:styleId="Style_42" w:type="paragraph">
    <w:name w:val="Информация об изменениях документа"/>
    <w:basedOn w:val="Style_15"/>
    <w:next w:val="Style_6"/>
    <w:link w:val="Style_42_ch"/>
    <w:rPr>
      <w:i w:val="1"/>
    </w:rPr>
  </w:style>
  <w:style w:styleId="Style_42_ch" w:type="character">
    <w:name w:val="Информация об изменениях документа"/>
    <w:basedOn w:val="Style_15_ch"/>
    <w:link w:val="Style_42"/>
    <w:rPr>
      <w:i w:val="1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25" w:type="paragraph">
    <w:name w:val="Цветовое выделение"/>
    <w:link w:val="Style_25_ch"/>
    <w:rPr>
      <w:b w:val="1"/>
      <w:color w:val="26282F"/>
    </w:rPr>
  </w:style>
  <w:style w:styleId="Style_25_ch" w:type="character">
    <w:name w:val="Цветовое выделение"/>
    <w:link w:val="Style_25"/>
    <w:rPr>
      <w:b w:val="1"/>
      <w:color w:val="26282F"/>
    </w:rPr>
  </w:style>
  <w:style w:styleId="Style_43" w:type="paragraph">
    <w:name w:val="toc 5"/>
    <w:next w:val="Style_6"/>
    <w:link w:val="Style_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44" w:type="paragraph">
    <w:name w:val="page number"/>
    <w:basedOn w:val="Style_7"/>
    <w:link w:val="Style_44_ch"/>
  </w:style>
  <w:style w:styleId="Style_44_ch" w:type="character">
    <w:name w:val="page number"/>
    <w:basedOn w:val="Style_7_ch"/>
    <w:link w:val="Style_44"/>
  </w:style>
  <w:style w:styleId="Style_45" w:type="paragraph">
    <w:name w:val="Subtitle"/>
    <w:next w:val="Style_6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Title"/>
    <w:next w:val="Style_6"/>
    <w:link w:val="Style_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6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heading 2"/>
    <w:next w:val="Style_6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Подзаголовок для информации об изменениях"/>
    <w:basedOn w:val="Style_23"/>
    <w:next w:val="Style_6"/>
    <w:link w:val="Style_49_ch"/>
    <w:rPr>
      <w:b w:val="1"/>
    </w:rPr>
  </w:style>
  <w:style w:styleId="Style_49_ch" w:type="character">
    <w:name w:val="Подзаголовок для информации об изменениях"/>
    <w:basedOn w:val="Style_23_ch"/>
    <w:link w:val="Style_49"/>
    <w:rPr>
      <w:b w:val="1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2025-06-24T09:57:34Z</dcterms:modified>
</cp:coreProperties>
</file>