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1</w:t>
      </w:r>
    </w:p>
    <w:p w14:paraId="04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 xml:space="preserve">постановлению администрации </w:t>
      </w:r>
    </w:p>
    <w:p w14:paraId="05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от 04.06.2025 № 4938-П</w:t>
      </w:r>
    </w:p>
    <w:p w14:paraId="07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9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0B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C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bookmarkStart w:id="1" w:name="P491"/>
      <w:bookmarkEnd w:id="1"/>
    </w:p>
    <w:p w14:paraId="0D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E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0F000000">
      <w:pPr>
        <w:widowControl w:val="0"/>
        <w:spacing w:after="108" w:before="108" w:line="240" w:lineRule="auto"/>
        <w:ind/>
        <w:jc w:val="center"/>
        <w:outlineLvl w:val="0"/>
        <w:rPr>
          <w:rFonts w:ascii="Times New Roman CYR" w:hAnsi="Times New Roman CYR"/>
          <w:color w:val="26282F"/>
          <w:sz w:val="24"/>
        </w:rPr>
      </w:pPr>
      <w:r>
        <w:rPr>
          <w:rFonts w:ascii="Times New Roman CYR" w:hAnsi="Times New Roman CYR"/>
          <w:color w:val="26282F"/>
          <w:sz w:val="24"/>
        </w:rPr>
        <w:t>«Жилье в городе Магнитогорске»</w:t>
      </w:r>
      <w:r>
        <w:rPr>
          <w:rFonts w:ascii="Times New Roman CYR" w:hAnsi="Times New Roman CYR"/>
          <w:color w:val="26282F"/>
          <w:sz w:val="24"/>
        </w:rPr>
        <w:br/>
      </w:r>
      <w:r>
        <w:rPr>
          <w:rFonts w:ascii="Times New Roman CYR" w:hAnsi="Times New Roman CYR"/>
          <w:color w:val="26282F"/>
          <w:sz w:val="24"/>
        </w:rPr>
        <w:t>на 2025-2030 годы</w:t>
      </w:r>
    </w:p>
    <w:p w14:paraId="10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2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513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сферу имущественных вопросов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</w:t>
            </w:r>
            <w:r>
              <w:rPr>
                <w:rFonts w:ascii="Times New Roman" w:hAnsi="Times New Roman"/>
              </w:rPr>
              <w:t xml:space="preserve"> Создание безопасных и благоприятных условий проживания граждан</w:t>
            </w:r>
          </w:p>
          <w:p w14:paraId="2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признанного непригодным для проживания</w:t>
            </w:r>
          </w:p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146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</w:t>
            </w:r>
            <w:r>
              <w:rPr>
                <w:rFonts w:ascii="Times New Roman" w:hAnsi="Times New Roman"/>
              </w:rPr>
              <w:t xml:space="preserve"> Повышение доступности жилья для молодых семей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146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 Развитие территории города Магнитогорска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146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4 Уменьшить жилищный фонд города Магнитогорска, признанный аварийным и подлежащий сносу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«Доступное и комфортное жилье в городе Магнитогорске»</w:t>
            </w:r>
          </w:p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559 408,99</w:t>
            </w: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/ Цифровая трансформация государственного и муниципального управления, экономики и социальной сферы / 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утвержденная постановлением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</w:tbl>
    <w:p w14:paraId="38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bookmarkStart w:id="2" w:name="P530"/>
      <w:bookmarkEnd w:id="2"/>
    </w:p>
    <w:p w14:paraId="39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A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0"/>
        <w:gridCol w:w="3193"/>
        <w:gridCol w:w="1200"/>
        <w:gridCol w:w="2644"/>
        <w:gridCol w:w="851"/>
        <w:gridCol w:w="850"/>
        <w:gridCol w:w="709"/>
        <w:gridCol w:w="709"/>
        <w:gridCol w:w="668"/>
        <w:gridCol w:w="619"/>
        <w:gridCol w:w="2647"/>
      </w:tblGrid>
      <w:tr>
        <w:tc>
          <w:tcPr>
            <w:tcW w:type="dxa" w:w="4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1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6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</w:t>
            </w:r>
            <w:r>
              <w:rPr>
                <w:rFonts w:ascii="Times New Roman" w:hAnsi="Times New Roman"/>
              </w:rPr>
              <w:t>. Создание безопасных и благоприятных условий проживания граждан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8 080,3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</w:t>
            </w:r>
            <w:r>
              <w:rPr>
                <w:rFonts w:ascii="Times New Roman" w:hAnsi="Times New Roman"/>
              </w:rPr>
              <w:t xml:space="preserve"> непригодным для проживания</w:t>
            </w:r>
            <w:r>
              <w:rPr>
                <w:rFonts w:ascii="Times New Roman" w:hAnsi="Times New Roman"/>
              </w:rPr>
              <w:t xml:space="preserve"> аварийным и подлежащим сносу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</w:t>
            </w:r>
            <w:r>
              <w:rPr>
                <w:rFonts w:ascii="Times New Roman" w:hAnsi="Times New Roman"/>
              </w:rPr>
              <w:t>признанного</w:t>
            </w:r>
            <w:r>
              <w:rPr>
                <w:rFonts w:ascii="Times New Roman" w:hAnsi="Times New Roman"/>
              </w:rPr>
              <w:t xml:space="preserve"> непригодным для проживания </w:t>
            </w:r>
            <w:r>
              <w:rPr>
                <w:rFonts w:ascii="Times New Roman" w:hAnsi="Times New Roman"/>
              </w:rPr>
              <w:t>в домах признанных аварийными и подлежащими сносу</w:t>
            </w:r>
            <w:r>
              <w:rPr>
                <w:rFonts w:ascii="Times New Roman" w:hAnsi="Times New Roman"/>
              </w:rPr>
              <w:t xml:space="preserve"> путем предоставления другого жилого помещения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12 698,3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Площадь расселенного жилищного фонда,</w:t>
            </w:r>
            <w:r>
              <w:rPr>
                <w:rFonts w:ascii="Times New Roman" w:hAnsi="Times New Roman"/>
                <w:sz w:val="21"/>
              </w:rPr>
              <w:t xml:space="preserve"> признанного непригодным для проживания</w:t>
            </w:r>
            <w:r>
              <w:rPr>
                <w:rFonts w:ascii="Times New Roman" w:hAnsi="Times New Roman"/>
                <w:sz w:val="21"/>
              </w:rPr>
              <w:t xml:space="preserve">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Внесение сведений в АИС </w:t>
            </w:r>
            <w:r>
              <w:rPr>
                <w:rFonts w:ascii="Times New Roman" w:hAnsi="Times New Roman"/>
              </w:rPr>
              <w:t xml:space="preserve">ППК </w:t>
            </w:r>
            <w:r>
              <w:rPr>
                <w:rFonts w:ascii="Times New Roman" w:hAnsi="Times New Roman"/>
              </w:rPr>
              <w:t>«ФРТ»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</w:t>
            </w:r>
            <w:r>
              <w:rPr>
                <w:rFonts w:ascii="Times New Roman" w:hAnsi="Times New Roman"/>
              </w:rPr>
              <w:t xml:space="preserve">еством и земельными отношениями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</w:tr>
      <w:tr>
        <w:tc>
          <w:tcPr>
            <w:tcW w:type="dxa" w:w="145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</w:t>
            </w:r>
            <w:r>
              <w:rPr>
                <w:rFonts w:ascii="Times New Roman" w:hAnsi="Times New Roman"/>
              </w:rPr>
              <w:t>. Повышение доступности жилья для молодых семей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регионального проекта</w:t>
            </w:r>
            <w:r>
              <w:rPr>
                <w:rFonts w:ascii="Times New Roman" w:hAnsi="Times New Roman"/>
              </w:rPr>
              <w:t>, состоящих в очереди</w:t>
            </w:r>
            <w:r>
              <w:rPr>
                <w:rFonts w:ascii="Times New Roman" w:hAnsi="Times New Roman"/>
              </w:rPr>
              <w:t xml:space="preserve"> на улучшение жилищных условий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9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9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3. Развитие территории города Магнитогорска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</w:tc>
      </w:tr>
      <w:tr>
        <w:tc>
          <w:tcPr>
            <w:tcW w:type="dxa" w:w="145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4. Уменьшить жилищный фонд города Магнитогорска, признанный аварийным и подлежащий сносу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31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CA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3" w:name="P688"/>
      <w:bookmarkEnd w:id="3"/>
      <w:r>
        <w:rPr>
          <w:rFonts w:ascii="Times New Roman" w:hAnsi="Times New Roman"/>
        </w:rPr>
        <w:t>3. План достижения показателей</w:t>
      </w:r>
    </w:p>
    <w:p w14:paraId="CB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CC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0"/>
        <w:gridCol w:w="2276"/>
        <w:gridCol w:w="1275"/>
        <w:gridCol w:w="709"/>
        <w:gridCol w:w="851"/>
        <w:gridCol w:w="708"/>
        <w:gridCol w:w="851"/>
        <w:gridCol w:w="709"/>
        <w:gridCol w:w="850"/>
        <w:gridCol w:w="709"/>
        <w:gridCol w:w="850"/>
        <w:gridCol w:w="851"/>
        <w:gridCol w:w="992"/>
        <w:gridCol w:w="1134"/>
        <w:gridCol w:w="1988"/>
      </w:tblGrid>
      <w:tr>
        <w:tc>
          <w:tcPr>
            <w:tcW w:type="dxa" w:w="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21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в.</w:t>
            </w:r>
            <w:r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</w:t>
            </w:r>
            <w:r>
              <w:rPr>
                <w:rFonts w:ascii="Times New Roman" w:hAnsi="Times New Roman"/>
              </w:rPr>
              <w:t xml:space="preserve"> непригодным для проживания</w:t>
            </w:r>
            <w:r>
              <w:rPr>
                <w:rFonts w:ascii="Times New Roman" w:hAnsi="Times New Roman"/>
              </w:rPr>
              <w:t xml:space="preserve"> аварийным и подлежащим сносу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</w:t>
            </w:r>
            <w:r>
              <w:rPr>
                <w:rFonts w:ascii="Times New Roman" w:hAnsi="Times New Roman"/>
              </w:rPr>
              <w:t>признанного</w:t>
            </w:r>
            <w:r>
              <w:rPr>
                <w:rFonts w:ascii="Times New Roman" w:hAnsi="Times New Roman"/>
              </w:rPr>
              <w:t xml:space="preserve"> непригодным для проживания </w:t>
            </w:r>
            <w:r>
              <w:rPr>
                <w:rFonts w:ascii="Times New Roman" w:hAnsi="Times New Roman"/>
              </w:rPr>
              <w:t>в домах признанных аварийными и подлежащими сносу</w:t>
            </w:r>
            <w:r>
              <w:rPr>
                <w:rFonts w:ascii="Times New Roman" w:hAnsi="Times New Roman"/>
              </w:rPr>
              <w:t xml:space="preserve"> путем предоставления другого жилого помещения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кв. м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1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,5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признанного</w:t>
            </w:r>
            <w:r>
              <w:rPr>
                <w:rFonts w:ascii="Times New Roman" w:hAnsi="Times New Roman"/>
              </w:rPr>
              <w:t xml:space="preserve"> непригодным для проживания</w:t>
            </w:r>
            <w:r>
              <w:rPr>
                <w:rFonts w:ascii="Times New Roman" w:hAnsi="Times New Roman"/>
              </w:rPr>
              <w:t xml:space="preserve"> в домах признанных аварийными и подлежащими сносу путем </w:t>
            </w:r>
            <w:r>
              <w:rPr>
                <w:rFonts w:ascii="Times New Roman" w:hAnsi="Times New Roman"/>
              </w:rPr>
              <w:t>выплаты возмещения (выкупной стоимости)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Внесение сведений в АИС </w:t>
            </w:r>
            <w:r>
              <w:rPr>
                <w:rFonts w:ascii="Times New Roman" w:hAnsi="Times New Roman"/>
              </w:rPr>
              <w:t xml:space="preserve">ППК </w:t>
            </w:r>
            <w:r>
              <w:rPr>
                <w:rFonts w:ascii="Times New Roman" w:hAnsi="Times New Roman"/>
              </w:rPr>
              <w:t>«ФРТ»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молодых семей участников </w:t>
            </w:r>
            <w:r>
              <w:rPr>
                <w:rFonts w:ascii="Times New Roman" w:hAnsi="Times New Roman"/>
              </w:rPr>
              <w:t>регионального проекта</w:t>
            </w:r>
            <w:r>
              <w:rPr>
                <w:rFonts w:ascii="Times New Roman" w:hAnsi="Times New Roman"/>
              </w:rPr>
              <w:t>, состоящих в очереди на улучшение жилищных условий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bookmarkStart w:id="4" w:name="_GoBack"/>
            <w:r>
              <w:rPr>
                <w:rFonts w:ascii="Times New Roman" w:hAnsi="Times New Roman"/>
                <w:sz w:val="21"/>
              </w:rPr>
              <w:t>Площадь земельных участков для жилищного строительства и предоставленных на аукционах</w:t>
            </w:r>
            <w:bookmarkEnd w:id="4"/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</w:tr>
      <w:tr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8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14:paraId="8A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bookmarkStart w:id="5" w:name="P804"/>
      <w:bookmarkEnd w:id="5"/>
    </w:p>
    <w:p w14:paraId="8B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C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8E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8F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7038"/>
        <w:gridCol w:w="3762"/>
        <w:gridCol w:w="2912"/>
      </w:tblGrid>
      <w:tr>
        <w:trPr>
          <w:tblHeader/>
        </w:trP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«Доступное и комфортное жилье в городе Магнитогорске»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</w:t>
            </w:r>
            <w:r>
              <w:rPr>
                <w:rFonts w:ascii="Times New Roman" w:hAnsi="Times New Roman"/>
              </w:rPr>
              <w:t xml:space="preserve"> проект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реализуемый вне национального проекта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«Мероприятия по переселению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признанного непригодным для проживания</w:t>
            </w:r>
          </w:p>
          <w:p w14:paraId="9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  <w:p w14:paraId="A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  <w:p w14:paraId="A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A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</w:t>
            </w:r>
            <w:r>
              <w:rPr>
                <w:rFonts w:ascii="Times New Roman" w:hAnsi="Times New Roman"/>
              </w:rPr>
              <w:t xml:space="preserve">жилищного фонда, признанного непригодным для проживания </w:t>
            </w:r>
            <w:r>
              <w:rPr>
                <w:rFonts w:ascii="Times New Roman" w:hAnsi="Times New Roman"/>
              </w:rPr>
              <w:t>в домах,</w:t>
            </w:r>
            <w:r>
              <w:rPr>
                <w:rFonts w:ascii="Times New Roman" w:hAnsi="Times New Roman"/>
              </w:rPr>
              <w:t xml:space="preserve"> признанных аварийными и подлежащими сносу путем предоставления другого жилого помещения</w:t>
            </w:r>
          </w:p>
          <w:p w14:paraId="A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</w:t>
            </w:r>
            <w:r>
              <w:rPr>
                <w:rFonts w:ascii="Times New Roman" w:hAnsi="Times New Roman"/>
              </w:rPr>
              <w:t xml:space="preserve"> ППК</w:t>
            </w:r>
            <w:r>
              <w:rPr>
                <w:rFonts w:ascii="Times New Roman" w:hAnsi="Times New Roman"/>
              </w:rPr>
              <w:t xml:space="preserve"> «ФРТ»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реализуемый вне национального проекта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«Оказание молодым семьям</w:t>
            </w:r>
            <w:r>
              <w:rPr>
                <w:rFonts w:ascii="Times New Roman" w:hAnsi="Times New Roman"/>
              </w:rPr>
              <w:t xml:space="preserve"> государственной</w:t>
            </w:r>
            <w:r>
              <w:rPr>
                <w:rFonts w:ascii="Times New Roman" w:hAnsi="Times New Roman"/>
              </w:rPr>
              <w:t xml:space="preserve"> поддержки для улучшения жилищных условий»</w:t>
            </w:r>
          </w:p>
        </w:tc>
      </w:tr>
      <w:tr>
        <w:tc>
          <w:tcPr>
            <w:tcW w:type="dxa" w:w="7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молодых семей, нуждающихся в улучшении жилищных условий.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молодых семей участников </w:t>
            </w:r>
            <w:r>
              <w:rPr>
                <w:rFonts w:ascii="Times New Roman" w:hAnsi="Times New Roman"/>
              </w:rPr>
              <w:t>регионального проекта</w:t>
            </w:r>
            <w:r>
              <w:rPr>
                <w:rFonts w:ascii="Times New Roman" w:hAnsi="Times New Roman"/>
              </w:rPr>
              <w:t xml:space="preserve">, состоящих в очереди на улучшение жилищных условий </w:t>
            </w:r>
          </w:p>
          <w:p w14:paraId="B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B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</w:t>
            </w:r>
            <w:r>
              <w:rPr>
                <w:rFonts w:ascii="Times New Roman" w:hAnsi="Times New Roman"/>
              </w:rPr>
              <w:t>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</w:t>
            </w:r>
            <w:r>
              <w:rPr>
                <w:rFonts w:ascii="Times New Roman" w:hAnsi="Times New Roman"/>
              </w:rPr>
              <w:t>сом РФ и Земельным кодексом РФ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7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 архитектуры и градостроительства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B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  <w:p w14:paraId="B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B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и предоставленных на аукционах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7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аварийного жилищного фонда в городе Магнитогорске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 Региональный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реализуемый в составе национального проекта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Жилье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78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  <w:p w14:paraId="C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D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D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D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D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</w:t>
            </w:r>
          </w:p>
        </w:tc>
        <w:tc>
          <w:tcPr>
            <w:tcW w:type="dxa" w:w="7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Внесение сведений в АИС</w:t>
            </w:r>
            <w:r>
              <w:rPr>
                <w:rFonts w:ascii="Times New Roman" w:hAnsi="Times New Roman"/>
              </w:rPr>
              <w:t xml:space="preserve"> ППК</w:t>
            </w:r>
            <w:r>
              <w:rPr>
                <w:rFonts w:ascii="Times New Roman" w:hAnsi="Times New Roman"/>
              </w:rPr>
              <w:t xml:space="preserve"> «ФРТ»</w:t>
            </w:r>
          </w:p>
        </w:tc>
      </w:tr>
    </w:tbl>
    <w:p w14:paraId="D8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bookmarkStart w:id="6" w:name="P877"/>
      <w:bookmarkEnd w:id="6"/>
    </w:p>
    <w:p w14:paraId="D9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DA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DB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673"/>
        <w:gridCol w:w="1560"/>
        <w:gridCol w:w="1418"/>
        <w:gridCol w:w="1786"/>
        <w:gridCol w:w="1323"/>
        <w:gridCol w:w="1270"/>
        <w:gridCol w:w="1267"/>
        <w:gridCol w:w="1441"/>
      </w:tblGrid>
      <w:tr>
        <w:tc>
          <w:tcPr>
            <w:tcW w:type="dxa" w:w="4673"/>
            <w:vMerge w:val="restart"/>
          </w:tcPr>
          <w:p w14:paraId="DC01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065"/>
            <w:gridSpan w:val="7"/>
          </w:tcPr>
          <w:p w14:paraId="DD01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3"/>
            <w:gridSpan w:val="1"/>
            <w:vMerge w:val="continue"/>
          </w:tcPr>
          <w:p/>
        </w:tc>
        <w:tc>
          <w:tcPr>
            <w:tcW w:type="dxa" w:w="1560"/>
            <w:vAlign w:val="center"/>
          </w:tcPr>
          <w:p w14:paraId="D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vAlign w:val="center"/>
          </w:tcPr>
          <w:p w14:paraId="D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86"/>
            <w:vAlign w:val="center"/>
          </w:tcPr>
          <w:p w14:paraId="E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23"/>
            <w:vAlign w:val="center"/>
          </w:tcPr>
          <w:p w14:paraId="E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0"/>
          </w:tcPr>
          <w:p w14:paraId="E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67"/>
          </w:tcPr>
          <w:p w14:paraId="E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41"/>
          </w:tcPr>
          <w:p w14:paraId="E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673"/>
            <w:vAlign w:val="center"/>
          </w:tcPr>
          <w:p w14:paraId="E501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0"/>
            <w:vAlign w:val="center"/>
          </w:tcPr>
          <w:p w14:paraId="E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vAlign w:val="center"/>
          </w:tcPr>
          <w:p w14:paraId="E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86"/>
            <w:vAlign w:val="center"/>
          </w:tcPr>
          <w:p w14:paraId="E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23"/>
            <w:vAlign w:val="center"/>
          </w:tcPr>
          <w:p w14:paraId="E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0"/>
          </w:tcPr>
          <w:p w14:paraId="E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67"/>
          </w:tcPr>
          <w:p w14:paraId="E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41"/>
          </w:tcPr>
          <w:p w14:paraId="E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673"/>
          </w:tcPr>
          <w:p w14:paraId="ED01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120 574,48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E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128 903,62</w:t>
            </w:r>
          </w:p>
        </w:tc>
        <w:tc>
          <w:tcPr>
            <w:tcW w:type="dxa" w:w="17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130 966,95</w:t>
            </w:r>
          </w:p>
        </w:tc>
        <w:tc>
          <w:tcPr>
            <w:tcW w:type="dxa" w:w="13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51 364,15</w:t>
            </w:r>
          </w:p>
        </w:tc>
        <w:tc>
          <w:tcPr>
            <w:tcW w:type="dxa" w:w="12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59 391,93</w:t>
            </w:r>
          </w:p>
        </w:tc>
        <w:tc>
          <w:tcPr>
            <w:tcW w:type="dxa" w:w="126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68 207,86</w:t>
            </w:r>
          </w:p>
        </w:tc>
        <w:tc>
          <w:tcPr>
            <w:tcW w:type="dxa" w:w="1441"/>
            <w:tcBorders>
              <w:top w:color="000000" w:sz="4" w:val="single"/>
              <w:left w:sz="4" w:val="nil"/>
              <w:bottom w:color="000000" w:sz="4" w:val="single"/>
              <w:right w:color="000000" w:sz="8" w:val="single"/>
            </w:tcBorders>
            <w:shd w:fill="FFFFFF" w:val="clear"/>
          </w:tcPr>
          <w:p w14:paraId="F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559 408,99</w:t>
            </w:r>
          </w:p>
        </w:tc>
      </w:tr>
      <w:tr>
        <w:trPr>
          <w:trHeight w:hRule="atLeast" w:val="266"/>
        </w:trPr>
        <w:tc>
          <w:tcPr>
            <w:tcW w:type="dxa" w:w="4673"/>
          </w:tcPr>
          <w:p w14:paraId="F501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6 640,46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5 784,16</w:t>
            </w:r>
          </w:p>
        </w:tc>
        <w:tc>
          <w:tcPr>
            <w:tcW w:type="dxa" w:w="17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5 658,54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41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</w:tcPr>
          <w:p w14:paraId="F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18 083,16</w:t>
            </w:r>
          </w:p>
        </w:tc>
      </w:tr>
      <w:tr>
        <w:tc>
          <w:tcPr>
            <w:tcW w:type="dxa" w:w="4673"/>
          </w:tcPr>
          <w:p w14:paraId="FD01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82 028,69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F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65 887,84</w:t>
            </w:r>
          </w:p>
        </w:tc>
        <w:tc>
          <w:tcPr>
            <w:tcW w:type="dxa" w:w="17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0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89 538,81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1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2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3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41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</w:tcPr>
          <w:p w14:paraId="04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237 455,34</w:t>
            </w:r>
          </w:p>
        </w:tc>
      </w:tr>
      <w:tr>
        <w:tc>
          <w:tcPr>
            <w:tcW w:type="dxa" w:w="4673"/>
          </w:tcPr>
          <w:p w14:paraId="0502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31 905,33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7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57 231,62</w:t>
            </w:r>
          </w:p>
        </w:tc>
        <w:tc>
          <w:tcPr>
            <w:tcW w:type="dxa" w:w="17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8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35 769,60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9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51 364,15</w:t>
            </w:r>
          </w:p>
        </w:tc>
        <w:tc>
          <w:tcPr>
            <w:tcW w:type="dxa" w:w="12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A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59 391,93</w:t>
            </w:r>
          </w:p>
        </w:tc>
        <w:tc>
          <w:tcPr>
            <w:tcW w:type="dxa" w:w="12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B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68 207,86</w:t>
            </w:r>
          </w:p>
        </w:tc>
        <w:tc>
          <w:tcPr>
            <w:tcW w:type="dxa" w:w="1441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</w:tcPr>
          <w:p w14:paraId="0C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303 870,49</w:t>
            </w:r>
          </w:p>
        </w:tc>
      </w:tr>
      <w:tr>
        <w:tc>
          <w:tcPr>
            <w:tcW w:type="dxa" w:w="4673"/>
          </w:tcPr>
          <w:p w14:paraId="0D02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F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0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1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2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3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41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FFFFFF" w:val="clear"/>
          </w:tcPr>
          <w:p w14:paraId="14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673"/>
          </w:tcPr>
          <w:p w14:paraId="1502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560"/>
          </w:tcPr>
          <w:p w14:paraId="16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418"/>
          </w:tcPr>
          <w:p w14:paraId="17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786"/>
          </w:tcPr>
          <w:p w14:paraId="18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323"/>
          </w:tcPr>
          <w:p w14:paraId="19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270"/>
          </w:tcPr>
          <w:p w14:paraId="1A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267"/>
          </w:tcPr>
          <w:p w14:paraId="1B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441"/>
          </w:tcPr>
          <w:p w14:paraId="1C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1D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E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F020000"/>
    <w:sectPr>
      <w:headerReference r:id="rId1" w:type="default"/>
      <w:pgSz w:h="11906" w:orient="landscape" w:w="16838"/>
      <w:pgMar w:bottom="850" w:footer="708" w:gutter="0" w:header="708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36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720" w:left="72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080" w:left="108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440" w:left="144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footer"/>
    <w:basedOn w:val="Style_4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4_ch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annotation reference"/>
    <w:basedOn w:val="Style_9"/>
    <w:link w:val="Style_13_ch"/>
    <w:rPr>
      <w:sz w:val="16"/>
    </w:rPr>
  </w:style>
  <w:style w:styleId="Style_13_ch" w:type="character">
    <w:name w:val="annotation reference"/>
    <w:basedOn w:val="Style_9_ch"/>
    <w:link w:val="Style_13"/>
    <w:rPr>
      <w:sz w:val="16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Segoe UI" w:hAnsi="Segoe UI"/>
      <w:sz w:val="18"/>
    </w:rPr>
  </w:style>
  <w:style w:styleId="Style_23_ch" w:type="character">
    <w:name w:val="Balloon Text"/>
    <w:basedOn w:val="Style_4_ch"/>
    <w:link w:val="Style_23"/>
    <w:rPr>
      <w:rFonts w:ascii="Segoe UI" w:hAnsi="Segoe UI"/>
      <w:sz w:val="1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annotation text"/>
    <w:basedOn w:val="Style_4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4_ch"/>
    <w:link w:val="Style_25"/>
    <w:rPr>
      <w:sz w:val="20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annotation subject"/>
    <w:basedOn w:val="Style_25"/>
    <w:next w:val="Style_25"/>
    <w:link w:val="Style_29_ch"/>
    <w:rPr>
      <w:b w:val="1"/>
    </w:rPr>
  </w:style>
  <w:style w:styleId="Style_29_ch" w:type="character">
    <w:name w:val="annotation subject"/>
    <w:basedOn w:val="Style_25_ch"/>
    <w:link w:val="Style_29"/>
    <w:rPr>
      <w:b w:val="1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2025-06-23T06:18:51Z</dcterms:modified>
</cp:coreProperties>
</file>