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2"/>
        <w:spacing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B000000">
      <w:pPr>
        <w:pStyle w:val="Style_2"/>
        <w:tabs>
          <w:tab w:leader="none" w:pos="10115" w:val="left"/>
        </w:tabs>
        <w:ind w:firstLine="0" w:left="28"/>
        <w:jc w:val="center"/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документации </w:t>
      </w:r>
      <w:r>
        <w:t>по</w:t>
      </w:r>
      <w:r>
        <w:rPr>
          <w:spacing w:val="-7"/>
        </w:rPr>
        <w:t xml:space="preserve"> </w:t>
      </w:r>
      <w:r>
        <w:t>планировке</w:t>
      </w:r>
      <w:r>
        <w:rPr>
          <w:spacing w:val="-8"/>
        </w:rPr>
        <w:t xml:space="preserve"> </w:t>
      </w:r>
      <w:r>
        <w:t>территории города Магнитогорска в границах ул. Сторожевая, ул. Северо-Западная, проезд Ковыльный</w:t>
      </w:r>
    </w:p>
    <w:p w14:paraId="0C000000">
      <w:pPr>
        <w:pStyle w:val="Style_2"/>
        <w:ind w:firstLine="0" w:left="167" w:right="101"/>
        <w:jc w:val="center"/>
      </w:pPr>
      <w:r>
        <w:t>(</w:t>
      </w:r>
      <w:r>
        <w:t>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p w14:paraId="0D000000">
      <w:pPr>
        <w:pStyle w:val="Style_2"/>
        <w:ind/>
        <w:jc w:val="both"/>
        <w:rPr>
          <w:sz w:val="19"/>
        </w:rPr>
      </w:pPr>
    </w:p>
    <w:tbl>
      <w:tblPr>
        <w:tblStyle w:val="Style_3"/>
        <w:tblW w:type="auto" w:w="0"/>
        <w:tblInd w:type="dxa" w:w="4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3222"/>
        <w:gridCol w:w="6062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Сведения </w:t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 xml:space="preserve">объекте </w:t>
            </w:r>
            <w:r>
              <w:rPr>
                <w:sz w:val="24"/>
              </w:rPr>
              <w:t>инженерных 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2"/>
              <w:tabs>
                <w:tab w:leader="none" w:pos="10115" w:val="left"/>
              </w:tabs>
              <w:ind w:firstLine="0" w:left="28"/>
              <w:jc w:val="both"/>
              <w:rPr>
                <w:sz w:val="24"/>
              </w:rPr>
            </w:pPr>
            <w:r>
              <w:rPr>
                <w:sz w:val="24"/>
              </w:rPr>
              <w:t>территори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 xml:space="preserve"> город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 Магнитогорск</w:t>
            </w:r>
            <w:r>
              <w:rPr>
                <w:sz w:val="24"/>
              </w:rPr>
              <w:t xml:space="preserve">а в районе </w:t>
            </w:r>
            <w:r>
              <w:rPr>
                <w:sz w:val="24"/>
              </w:rPr>
              <w:t>участков с кадастровыми номерами 74:33:0125001:392 и 74:33:0125001:409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4"/>
              </w:rPr>
              <w:t>изысканий</w:t>
            </w:r>
          </w:p>
          <w:p w14:paraId="16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4"/>
              </w:rPr>
            </w:pP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9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19.01.2006</w:t>
            </w:r>
          </w:p>
          <w:p w14:paraId="1A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20»;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4"/>
              </w:rPr>
              <w:t xml:space="preserve">информационных системах обеспечения </w:t>
            </w:r>
            <w:r>
              <w:rPr>
                <w:sz w:val="24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C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СП 47.13330.2016 «Свод правил. Инженерные изыскания для строительства. 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30.12.2016</w:t>
            </w:r>
          </w:p>
          <w:p w14:paraId="1D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1033/</w:t>
            </w:r>
            <w:r>
              <w:rPr>
                <w:spacing w:val="-2"/>
                <w:sz w:val="24"/>
              </w:rPr>
              <w:t>пр</w:t>
            </w:r>
            <w:r>
              <w:rPr>
                <w:spacing w:val="-2"/>
                <w:sz w:val="24"/>
              </w:rPr>
              <w:t>;</w:t>
            </w:r>
          </w:p>
          <w:p w14:paraId="1E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438.1325800.2019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4"/>
              </w:rPr>
              <w:t xml:space="preserve">требования», утвержденный приказом </w:t>
            </w:r>
            <w:r>
              <w:rPr>
                <w:sz w:val="24"/>
              </w:rPr>
              <w:t xml:space="preserve">Министерства </w:t>
            </w:r>
            <w:r>
              <w:rPr>
                <w:sz w:val="24"/>
              </w:rPr>
              <w:t>строительства и жилищно- коммунального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25.02.2019 № 127/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;</w:t>
            </w:r>
          </w:p>
          <w:p w14:paraId="1F000000">
            <w:pPr>
              <w:pStyle w:val="Style_4"/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11-102-97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одобренный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pacing w:val="-2"/>
                <w:sz w:val="24"/>
              </w:rPr>
              <w:t>пр</w:t>
            </w:r>
            <w:r>
              <w:rPr>
                <w:spacing w:val="-2"/>
                <w:sz w:val="24"/>
              </w:rPr>
              <w:t>;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одобренный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3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Постановление администрации города Магнитогорска Челябинской области от 10.06.2013</w:t>
            </w:r>
          </w:p>
          <w:p w14:paraId="24000000">
            <w:pPr>
              <w:pStyle w:val="Style_4"/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5000000">
            <w:pPr>
              <w:pStyle w:val="Style_4"/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6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Границы территории </w:t>
            </w:r>
            <w:r>
              <w:rPr>
                <w:sz w:val="24"/>
              </w:rPr>
              <w:t xml:space="preserve">проведения инженерных </w:t>
            </w:r>
            <w:r>
              <w:rPr>
                <w:spacing w:val="-2"/>
                <w:sz w:val="24"/>
              </w:rPr>
              <w:t>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Ориентировочная площадь проектирования </w:t>
            </w:r>
            <w:r>
              <w:rPr>
                <w:sz w:val="24"/>
              </w:rPr>
              <w:t>11</w:t>
            </w:r>
            <w:r>
              <w:rPr>
                <w:sz w:val="24"/>
              </w:rPr>
              <w:t xml:space="preserve"> га, </w:t>
            </w:r>
            <w:r>
              <w:rPr>
                <w:sz w:val="24"/>
              </w:rPr>
              <w:t>по территориальной зоне Ц-2</w:t>
            </w:r>
            <w:r>
              <w:rPr>
                <w:sz w:val="24"/>
              </w:rPr>
              <w:t xml:space="preserve"> </w:t>
            </w:r>
          </w:p>
          <w:p w14:paraId="2A000000">
            <w:pPr>
              <w:ind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Земельные участки, которые входят в территорию </w:t>
            </w:r>
            <w:r>
              <w:rPr>
                <w:sz w:val="24"/>
              </w:rPr>
              <w:t>проведения инженерных изысканий:</w:t>
            </w:r>
            <w:r>
              <w:rPr>
                <w:sz w:val="24"/>
              </w:rPr>
              <w:t xml:space="preserve"> 74:33:0125001:392 и 74:33:0125001:409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Виды инженерных изысканий*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ind/>
              <w:jc w:val="both"/>
              <w:rPr>
                <w:sz w:val="24"/>
              </w:rPr>
            </w:pPr>
            <w:r>
              <w:rPr>
                <w:rStyle w:val="Style_5_ch"/>
                <w:color w:val="000000"/>
                <w:spacing w:val="-4"/>
                <w:sz w:val="24"/>
              </w:rPr>
              <w:t>инженерно-геодезические изыскания;</w:t>
            </w:r>
          </w:p>
          <w:p w14:paraId="2E000000">
            <w:pPr>
              <w:ind/>
              <w:jc w:val="both"/>
              <w:rPr>
                <w:sz w:val="24"/>
              </w:rPr>
            </w:pPr>
            <w:r>
              <w:rPr>
                <w:rStyle w:val="Style_5_ch"/>
                <w:color w:val="000000"/>
                <w:spacing w:val="-4"/>
                <w:sz w:val="24"/>
              </w:rPr>
              <w:t>инженерно-геологические изыскания;</w:t>
            </w:r>
          </w:p>
          <w:p w14:paraId="2F000000">
            <w:pPr>
              <w:ind/>
              <w:jc w:val="both"/>
              <w:rPr>
                <w:rStyle w:val="Style_5_ch"/>
                <w:color w:val="000000"/>
                <w:spacing w:val="-4"/>
                <w:sz w:val="24"/>
              </w:rPr>
            </w:pPr>
            <w:r>
              <w:rPr>
                <w:rStyle w:val="Style_5_ch"/>
                <w:color w:val="000000"/>
                <w:spacing w:val="-4"/>
                <w:sz w:val="24"/>
              </w:rPr>
              <w:t>инженерно-гидрометеорологические изыскания.</w:t>
            </w:r>
          </w:p>
          <w:p w14:paraId="3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</w:t>
            </w:r>
            <w:r>
              <w:rPr>
                <w:sz w:val="24"/>
              </w:rPr>
              <w:t>законодательством.</w:t>
            </w:r>
          </w:p>
          <w:p w14:paraId="3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Описание планируемого к </w:t>
            </w:r>
            <w:r>
              <w:rPr>
                <w:spacing w:val="-2"/>
                <w:sz w:val="24"/>
              </w:rPr>
              <w:t>размещению объекта капитального строительства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Размещение объекта - магазин на участке 74:33:0125001:392.</w:t>
            </w:r>
          </w:p>
          <w:p w14:paraId="35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Размещение гаражей на участке 74:33:0125001:409 с видом разрешенного использования «камера хранения». Изменение вида размешенного использования не предусматривается.</w:t>
            </w:r>
          </w:p>
          <w:p w14:paraId="36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-Магазин (размещение объектов капитального строительства, предназначенных для продажи товаров, торговая площадь которых составляет до 5000 кв. м) на участке 74:33:0125001:392, площадью застройки не менее 30% и не более 85%, 1 этаж;</w:t>
            </w:r>
          </w:p>
          <w:p w14:paraId="37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гаражи (Размещение отдельно стоящих и пристроенных гаражей, предназначенных для хранения автотранспорта, в том числе с разделением на </w:t>
            </w:r>
            <w:r>
              <w:rPr>
                <w:sz w:val="24"/>
              </w:rPr>
              <w:t>машино</w:t>
            </w:r>
            <w:r>
              <w:rPr>
                <w:sz w:val="24"/>
              </w:rPr>
              <w:t xml:space="preserve">-места) на участке 74:33:0125001:409, площадью застройки ЗУ не менее 30% и не более 85%, до 3х ОКС, этажность </w:t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 xml:space="preserve"> 1</w:t>
            </w:r>
            <w:r>
              <w:rPr>
                <w:sz w:val="24"/>
              </w:rPr>
              <w:t xml:space="preserve"> </w:t>
            </w:r>
          </w:p>
        </w:tc>
      </w:tr>
    </w:tbl>
    <w:p w14:paraId="38000000">
      <w:pPr>
        <w:pStyle w:val="Style_2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9000000">
      <w:pPr>
        <w:pStyle w:val="Style_2"/>
      </w:pPr>
    </w:p>
    <w:p w14:paraId="3A000000">
      <w:pPr>
        <w:pStyle w:val="Style_2"/>
        <w:spacing w:before="272"/>
        <w:ind/>
      </w:pPr>
      <w:bookmarkStart w:id="1" w:name="_GoBack"/>
      <w:bookmarkEnd w:id="1"/>
    </w:p>
    <w:p w14:paraId="3B000000">
      <w:pPr>
        <w:pStyle w:val="Style_2"/>
        <w:spacing w:before="272"/>
        <w:ind/>
      </w:pPr>
    </w:p>
    <w:p w14:paraId="3C000000">
      <w:pPr>
        <w:pStyle w:val="Style_2"/>
        <w:spacing w:line="291" w:lineRule="exact"/>
        <w:ind w:firstLine="0" w:left="143"/>
      </w:pPr>
      <w:r>
        <w:rPr>
          <w:spacing w:val="-2"/>
        </w:rPr>
        <w:t>И.о</w:t>
      </w:r>
      <w:r>
        <w:rPr>
          <w:spacing w:val="-2"/>
        </w:rPr>
        <w:t>. н</w:t>
      </w:r>
      <w:r>
        <w:rPr>
          <w:spacing w:val="-2"/>
        </w:rPr>
        <w:t>ачальник</w:t>
      </w:r>
      <w:r>
        <w:rPr>
          <w:spacing w:val="-2"/>
        </w:rPr>
        <w:t>а</w:t>
      </w:r>
      <w:r>
        <w:rPr>
          <w:spacing w:val="-2"/>
        </w:rPr>
        <w:t xml:space="preserve"> Управления</w:t>
      </w:r>
    </w:p>
    <w:p w14:paraId="3D000000">
      <w:pPr>
        <w:pStyle w:val="Style_2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3E000000">
      <w:pPr>
        <w:pStyle w:val="Style_2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                                   </w:t>
      </w:r>
      <w:r>
        <w:t>Т.П. Чижова</w:t>
      </w:r>
    </w:p>
    <w:sectPr>
      <w:headerReference r:id="rId2" w:type="default"/>
      <w:headerReference r:id="rId1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09.06.2025 №5057-П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000000">
                          <w:pPr>
                            <w:pStyle w:val="Style_2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4" w:type="paragraph">
    <w:name w:val="Balloon Text"/>
    <w:basedOn w:val="Style_6"/>
    <w:link w:val="Style_14_ch"/>
    <w:rPr>
      <w:rFonts w:ascii="Segoe UI" w:hAnsi="Segoe UI"/>
      <w:sz w:val="18"/>
    </w:rPr>
  </w:style>
  <w:style w:styleId="Style_14_ch" w:type="character">
    <w:name w:val="Balloon Text"/>
    <w:basedOn w:val="Style_6_ch"/>
    <w:link w:val="Style_14"/>
    <w:rPr>
      <w:rFonts w:ascii="Segoe UI" w:hAnsi="Segoe UI"/>
      <w:sz w:val="18"/>
    </w:rPr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oter"/>
    <w:basedOn w:val="Style_6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6_ch"/>
    <w:link w:val="Style_24"/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" w:type="paragraph">
    <w:name w:val="Body Text"/>
    <w:basedOn w:val="Style_6"/>
    <w:link w:val="Style_2_ch"/>
    <w:rPr>
      <w:sz w:val="26"/>
    </w:rPr>
  </w:style>
  <w:style w:styleId="Style_2_ch" w:type="character">
    <w:name w:val="Body Text"/>
    <w:basedOn w:val="Style_6_ch"/>
    <w:link w:val="Style_2"/>
    <w:rPr>
      <w:sz w:val="26"/>
    </w:rPr>
  </w:style>
  <w:style w:styleId="Style_26" w:type="paragraph">
    <w:name w:val="List Paragraph"/>
    <w:basedOn w:val="Style_6"/>
    <w:link w:val="Style_26_ch"/>
  </w:style>
  <w:style w:styleId="Style_26_ch" w:type="character">
    <w:name w:val="List Paragraph"/>
    <w:basedOn w:val="Style_6_ch"/>
    <w:link w:val="Style_26"/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2025-06-10T06:39:15Z</dcterms:modified>
</cp:coreProperties>
</file>