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14:paraId="03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4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5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от 28.05.2025 № 4748-П</w:t>
      </w:r>
    </w:p>
    <w:p w14:paraId="06000000">
      <w:pPr>
        <w:spacing w:after="0" w:line="240" w:lineRule="auto"/>
        <w:ind w:firstLine="0" w:left="10772"/>
        <w:rPr>
          <w:rFonts w:ascii="Times New Roman" w:hAnsi="Times New Roman"/>
        </w:rPr>
      </w:pPr>
    </w:p>
    <w:p w14:paraId="07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14:paraId="08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 «Выполнение функций</w:t>
      </w:r>
    </w:p>
    <w:p w14:paraId="09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управлению, владению, пользованию и распоряжению муниципальным имуществом в городе </w:t>
      </w:r>
      <w:r>
        <w:rPr>
          <w:rFonts w:ascii="Times New Roman" w:hAnsi="Times New Roman"/>
        </w:rPr>
        <w:t>Магнитогорске» на 2025 – 2030 годы</w:t>
      </w:r>
    </w:p>
    <w:p w14:paraId="0A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10348" w:left="0"/>
        <w:jc w:val="right"/>
        <w:rPr>
          <w:rFonts w:ascii="Times New Roman" w:hAnsi="Times New Roman"/>
        </w:rPr>
      </w:pPr>
    </w:p>
    <w:p w14:paraId="0C000000">
      <w:pPr>
        <w:spacing w:after="0" w:line="240" w:lineRule="auto"/>
        <w:ind/>
        <w:contextualSpacing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Методика расчета и источники информации</w:t>
      </w:r>
    </w:p>
    <w:p w14:paraId="0D000000">
      <w:pPr>
        <w:spacing w:after="0" w:line="240" w:lineRule="auto"/>
        <w:ind/>
        <w:contextualSpacing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значениях целевых показателей муниципальной программы,</w:t>
      </w:r>
    </w:p>
    <w:p w14:paraId="0E000000">
      <w:pPr>
        <w:spacing w:after="0" w:line="240" w:lineRule="auto"/>
        <w:ind/>
        <w:contextualSpacing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показателей структурных элементов</w:t>
      </w:r>
    </w:p>
    <w:p w14:paraId="0F000000">
      <w:pPr>
        <w:spacing w:after="108" w:before="108"/>
        <w:ind/>
        <w:contextualSpacing w:val="1"/>
        <w:jc w:val="center"/>
      </w:pPr>
      <w:r>
        <w:rPr>
          <w:rFonts w:ascii="Times New Roman" w:hAnsi="Times New Roman"/>
        </w:rPr>
        <w:t xml:space="preserve">муниципальной программы </w:t>
      </w:r>
      <w:r>
        <w:rPr>
          <w:rFonts w:ascii="Times New Roman" w:hAnsi="Times New Roman"/>
          <w:color w:val="26282F"/>
        </w:rPr>
        <w:t>«Выполнение функций по управлению, владению, пользованию и распо</w:t>
      </w:r>
      <w:r>
        <w:rPr>
          <w:rFonts w:ascii="Times New Roman" w:hAnsi="Times New Roman"/>
          <w:color w:val="26282F"/>
        </w:rPr>
        <w:t xml:space="preserve">ряжению </w:t>
      </w:r>
      <w:r>
        <w:rPr>
          <w:rFonts w:ascii="Times New Roman" w:hAnsi="Times New Roman"/>
          <w:color w:val="26282F"/>
        </w:rPr>
        <w:br/>
      </w:r>
      <w:r>
        <w:rPr>
          <w:rFonts w:ascii="Times New Roman" w:hAnsi="Times New Roman"/>
          <w:color w:val="26282F"/>
        </w:rPr>
        <w:t>муниципальным имуществом в городе Магнитогорске»</w:t>
      </w:r>
      <w:r>
        <w:rPr>
          <w:rFonts w:ascii="Times New Roman" w:hAnsi="Times New Roman"/>
        </w:rPr>
        <w:t xml:space="preserve"> на 2025 – 2030 годы</w:t>
      </w:r>
    </w:p>
    <w:p w14:paraId="10000000">
      <w:pPr>
        <w:spacing w:after="0" w:line="240" w:lineRule="auto"/>
        <w:ind/>
        <w:contextualSpacing w:val="1"/>
        <w:jc w:val="center"/>
      </w:pPr>
    </w:p>
    <w:tbl>
      <w:tblPr>
        <w:tblStyle w:val="Style_2"/>
        <w:tblW w:type="auto" w:w="0"/>
        <w:tblInd w:type="dxa" w:w="108"/>
        <w:tblLayout w:type="fixed"/>
      </w:tblPr>
      <w:tblGrid>
        <w:gridCol w:w="951"/>
        <w:gridCol w:w="1276"/>
        <w:gridCol w:w="2309"/>
        <w:gridCol w:w="1843"/>
        <w:gridCol w:w="4253"/>
        <w:gridCol w:w="3543"/>
      </w:tblGrid>
      <w:tr>
        <w:tc>
          <w:tcPr>
            <w:tcW w:type="dxa" w:w="951"/>
            <w:tcBorders>
              <w:bottom w:color="000000" w:sz="6" w:val="single"/>
            </w:tcBorders>
            <w:shd w:fill="auto" w:val="clear"/>
          </w:tcPr>
          <w:p w14:paraId="11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85"/>
            <w:gridSpan w:val="2"/>
            <w:tcBorders>
              <w:bottom w:color="000000" w:sz="6" w:val="single"/>
            </w:tcBorders>
            <w:shd w:fill="auto" w:val="clear"/>
            <w:vAlign w:val="center"/>
          </w:tcPr>
          <w:p w14:paraId="12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43"/>
            <w:tcBorders>
              <w:bottom w:color="000000" w:sz="6" w:val="single"/>
            </w:tcBorders>
            <w:shd w:fill="auto" w:val="clear"/>
          </w:tcPr>
          <w:p w14:paraId="13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253"/>
            <w:tcBorders>
              <w:bottom w:color="000000" w:sz="6" w:val="single"/>
            </w:tcBorders>
            <w:shd w:fill="auto" w:val="clear"/>
            <w:vAlign w:val="center"/>
          </w:tcPr>
          <w:p w14:paraId="14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bottom w:color="000000" w:sz="6" w:val="single"/>
            </w:tcBorders>
            <w:shd w:fill="auto" w:val="clear"/>
            <w:vAlign w:val="center"/>
          </w:tcPr>
          <w:p w14:paraId="15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 </w:t>
            </w:r>
          </w:p>
          <w:p w14:paraId="17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показателя, </w:t>
            </w:r>
          </w:p>
          <w:p w14:paraId="19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Динамика показателя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Расчет целевого показателя 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1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00000">
            <w:pPr>
              <w:spacing w:after="108" w:before="108"/>
              <w:ind/>
              <w:jc w:val="center"/>
            </w:pPr>
            <w:r>
              <w:rPr>
                <w:rFonts w:ascii="Times New Roman" w:hAnsi="Times New Roman"/>
              </w:rPr>
              <w:t xml:space="preserve">Муниципальная программа </w:t>
            </w:r>
            <w:r>
              <w:rPr>
                <w:rFonts w:ascii="Times New Roman" w:hAnsi="Times New Roman"/>
                <w:color w:val="26282F"/>
              </w:rPr>
              <w:t>«Выполнение функций по управлению, владению, пользованию и распоряжению муниципальным имуществом в городе Магнитогорске»</w:t>
            </w:r>
            <w:r>
              <w:t xml:space="preserve"> </w:t>
            </w:r>
            <w:r>
              <w:rPr>
                <w:rFonts w:ascii="Times New Roman" w:hAnsi="Times New Roman"/>
              </w:rPr>
              <w:t>на 2025 – 2030 годы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00000">
            <w:pPr>
              <w:widowControl w:val="0"/>
              <w:spacing w:after="0" w:line="240" w:lineRule="auto"/>
              <w:ind/>
              <w:jc w:val="center"/>
            </w:pPr>
            <w:bookmarkStart w:id="1" w:name="sub_1325"/>
            <w:r>
              <w:rPr>
                <w:rFonts w:ascii="Times New Roman" w:hAnsi="Times New Roman"/>
              </w:rPr>
              <w:t>1</w:t>
            </w:r>
            <w:bookmarkEnd w:id="1"/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Доля проведенных торгов по муниципальному имуществу и земельным участкам в процентах к о</w:t>
            </w:r>
            <w:r>
              <w:rPr>
                <w:rFonts w:ascii="Times New Roman" w:hAnsi="Times New Roman"/>
              </w:rPr>
              <w:t>бщему количеству запланированных торгов,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проведенных торгов,</w:t>
            </w:r>
          </w:p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торгов</w:t>
            </w:r>
          </w:p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00000">
            <w:r>
              <w:rPr>
                <w:rFonts w:ascii="Times New Roman" w:hAnsi="Times New Roman"/>
              </w:rPr>
              <w:t>Приказ Комитета от 13.02.2025 № 04/41 «О проведении торгов в 2025 году»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00000">
            <w:r>
              <w:rPr>
                <w:rFonts w:ascii="Times New Roman" w:hAnsi="Times New Roman"/>
              </w:rPr>
              <w:t xml:space="preserve">Процент выполнения </w:t>
            </w:r>
            <w:r>
              <w:rPr>
                <w:rFonts w:ascii="Times New Roman" w:hAnsi="Times New Roman"/>
              </w:rPr>
              <w:t>плановых показателей по расходам на содержание муниципального имущества,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кассовых расходов,</w:t>
            </w:r>
          </w:p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расходов</w:t>
            </w:r>
          </w:p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00000">
            <w:r>
              <w:rPr>
                <w:rFonts w:ascii="Times New Roman" w:hAnsi="Times New Roman"/>
              </w:rPr>
              <w:t xml:space="preserve">Отчет об исполнении бюджета главного распорядителя, </w:t>
            </w:r>
            <w:r>
              <w:rPr>
                <w:rFonts w:ascii="Times New Roman" w:hAnsi="Times New Roman"/>
              </w:rPr>
              <w:t xml:space="preserve">распорядителя, получателя бюджетных средств, главного администратора, администратора </w:t>
            </w:r>
            <w:r>
              <w:rPr>
                <w:rFonts w:ascii="Times New Roman" w:hAnsi="Times New Roman"/>
              </w:rPr>
              <w:t>источников финансирования дефицита бюджета, главного администратора, администратора доходов бюджета (ф.0503127)</w:t>
            </w:r>
            <w:r>
              <w:t>  </w:t>
            </w:r>
          </w:p>
          <w:p w14:paraId="33000000"/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00000">
            <w:r>
              <w:rPr>
                <w:rFonts w:ascii="Times New Roman" w:hAnsi="Times New Roman"/>
              </w:rPr>
              <w:t>Доля от проведенных проверок муниципальных зданий и п</w:t>
            </w:r>
            <w:r>
              <w:rPr>
                <w:rFonts w:ascii="Times New Roman" w:hAnsi="Times New Roman"/>
              </w:rPr>
              <w:t>омещений в процентах к общему количеству запланированных проверок для контроля за использованием муниципального имущества,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00000">
            <w:pPr>
              <w:widowControl w:val="0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</w:rPr>
              <w:t xml:space="preserve">  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проведенных проверок,</w:t>
            </w:r>
          </w:p>
          <w:p w14:paraId="3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проверок</w:t>
            </w:r>
          </w:p>
          <w:p w14:paraId="3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К</w:t>
            </w:r>
            <w:r>
              <w:rPr>
                <w:rFonts w:ascii="Times New Roman" w:hAnsi="Times New Roman"/>
              </w:rPr>
              <w:t>омитета от 16.01.2025                          № КУИиЗО-04/3 «Об утверждении графика обследования переданных в безвозмездное пользование нежилых помещений и зданий на 2025 г.»;</w:t>
            </w:r>
          </w:p>
          <w:p w14:paraId="3C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Комитета от 16.01.2025                          № КУИиЗО-04/4 «Об </w:t>
            </w:r>
            <w:r>
              <w:rPr>
                <w:rFonts w:ascii="Times New Roman" w:hAnsi="Times New Roman"/>
              </w:rPr>
              <w:t>утверждении графика обследования переданных в аренду муниципальных нежилых помещений на 2025 г.»;</w:t>
            </w:r>
          </w:p>
          <w:p w14:paraId="3D000000">
            <w:r>
              <w:rPr>
                <w:rFonts w:ascii="Times New Roman" w:hAnsi="Times New Roman"/>
              </w:rPr>
              <w:t xml:space="preserve">Приказ Комитета от 31.01.2025                          № КУИиЗО-04/40 «Об утверждении графика обследования пустующих </w:t>
            </w:r>
            <w:r>
              <w:rPr>
                <w:rFonts w:ascii="Times New Roman" w:hAnsi="Times New Roman"/>
              </w:rPr>
              <w:t>муниципальных  нежилых</w:t>
            </w:r>
            <w:r>
              <w:rPr>
                <w:rFonts w:ascii="Times New Roman" w:hAnsi="Times New Roman"/>
              </w:rPr>
              <w:t xml:space="preserve"> помещений  на 2025</w:t>
            </w:r>
            <w:r>
              <w:rPr>
                <w:rFonts w:ascii="Times New Roman" w:hAnsi="Times New Roman"/>
              </w:rPr>
              <w:t xml:space="preserve"> г.»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Взносы в уставный капитал хозяйствующих субъектов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4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кассовых расходов на взносы в уставный капитал хозяйствующим субъектам,</w:t>
            </w:r>
          </w:p>
          <w:p w14:paraId="4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расходов на взносы в уставный капитал хозяйствующим субъектам</w:t>
            </w:r>
          </w:p>
          <w:p w14:paraId="4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00000">
            <w:r>
              <w:rPr>
                <w:rFonts w:ascii="Times New Roman" w:hAnsi="Times New Roman"/>
              </w:rPr>
      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</w:t>
            </w:r>
            <w:r>
              <w:rPr>
                <w:rFonts w:ascii="Times New Roman" w:hAnsi="Times New Roman"/>
              </w:rPr>
              <w:t>дефицита бюджета, главного администратора, администратора доходов бюджета (ф.0503127)</w:t>
            </w:r>
            <w:r>
              <w:t>  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приобретаемых транспортных средств и специализированной техники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</w:t>
            </w:r>
            <w:r>
              <w:rPr>
                <w:rFonts w:ascii="Symbol" w:hAnsi="Symbol"/>
              </w:rPr>
              <w:t>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, где </w:t>
            </w:r>
          </w:p>
          <w:p w14:paraId="4A000000">
            <w:pPr>
              <w:widowControl w:val="0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приобретенных транспортных средств и специализированной</w:t>
            </w:r>
            <w:r>
              <w:rPr>
                <w:rFonts w:ascii="Times New Roman" w:hAnsi="Times New Roman"/>
              </w:rPr>
              <w:t xml:space="preserve"> техники в муниципальную собственность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о приемке, сформированный в соответствии со статьей 94 Федерального закона от 05.04.2013 №44-ФЗ «О контрактной системе в сфере закупок товаров, работ, услуг для обеспечения государственных и муниципальных нуж</w:t>
            </w:r>
            <w:r>
              <w:rPr>
                <w:rFonts w:ascii="Times New Roman" w:hAnsi="Times New Roman"/>
              </w:rPr>
              <w:t xml:space="preserve">д» 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</w:t>
            </w:r>
            <w:r>
              <w:rPr>
                <w:rFonts w:ascii="Symbol" w:hAnsi="Symbol"/>
              </w:rPr>
              <w:t>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, где </w:t>
            </w:r>
          </w:p>
          <w:p w14:paraId="5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о приемке, сформированный в соответствии со статьей 94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  <w:bookmarkStart w:id="2" w:name="_GoBack"/>
            <w:bookmarkEnd w:id="2"/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22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Направление 1. «Обеспечение управления муниципальным имуществом и земельными отношениями»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00000">
            <w:pPr>
              <w:widowControl w:val="0"/>
              <w:spacing w:after="108" w:before="108" w:line="240" w:lineRule="auto"/>
              <w:ind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type="dxa" w:w="1194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00000">
            <w:pPr>
              <w:widowControl w:val="0"/>
              <w:spacing w:after="108" w:before="108" w:line="240" w:lineRule="auto"/>
              <w:ind/>
              <w:jc w:val="center"/>
              <w:outlineLvl w:val="0"/>
            </w:pPr>
            <w:r>
              <w:rPr>
                <w:rFonts w:ascii="Times New Roman" w:hAnsi="Times New Roman"/>
              </w:rPr>
              <w:t xml:space="preserve">1.1 Комплекс процессных </w:t>
            </w:r>
            <w:r>
              <w:rPr>
                <w:rFonts w:ascii="Times New Roman" w:hAnsi="Times New Roman"/>
              </w:rPr>
              <w:t>мероприятий  «</w:t>
            </w:r>
            <w:r>
              <w:rPr>
                <w:rFonts w:ascii="Times New Roman" w:hAnsi="Times New Roman"/>
              </w:rPr>
              <w:t>Управление муниципальным имуществом и земельными отношениями»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 xml:space="preserve">Проведено торгов по муниципальному имуществу и </w:t>
            </w:r>
            <w:r>
              <w:rPr>
                <w:rFonts w:ascii="Times New Roman" w:hAnsi="Times New Roman"/>
              </w:rPr>
              <w:t>земельным участок в процентах к общему количеству запланированных торгов,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5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проведенных торгов,</w:t>
            </w:r>
          </w:p>
          <w:p w14:paraId="5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торгов</w:t>
            </w:r>
          </w:p>
          <w:p w14:paraId="5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00000">
            <w:r>
              <w:rPr>
                <w:rFonts w:ascii="Times New Roman" w:hAnsi="Times New Roman"/>
              </w:rPr>
              <w:t xml:space="preserve">Приказ Комитета от 13.02.2025 № 04/41 «О проведении торгов в </w:t>
            </w:r>
            <w:r>
              <w:rPr>
                <w:rFonts w:ascii="Times New Roman" w:hAnsi="Times New Roman"/>
              </w:rPr>
              <w:t>2025 году»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00000">
            <w:r>
              <w:rPr>
                <w:rFonts w:ascii="Times New Roman" w:hAnsi="Times New Roman"/>
              </w:rPr>
              <w:t>Выполнено плановых показателей по расходам на содержание муниципального имущества,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6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кассовых расходов,</w:t>
            </w:r>
          </w:p>
          <w:p w14:paraId="6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расходов</w:t>
            </w:r>
          </w:p>
          <w:p w14:paraId="6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00000">
            <w:r>
              <w:rPr>
                <w:rFonts w:ascii="Times New Roman" w:hAnsi="Times New Roman"/>
              </w:rPr>
              <w:t xml:space="preserve">Отчет об исполнении бюджета главного </w:t>
            </w:r>
            <w:r>
              <w:rPr>
                <w:rFonts w:ascii="Times New Roman" w:hAnsi="Times New Roman"/>
              </w:rPr>
              <w:t>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00000">
            <w:r>
              <w:rPr>
                <w:rFonts w:ascii="Times New Roman" w:hAnsi="Times New Roman"/>
              </w:rPr>
              <w:t>Проведено проверок муниципальных зданий и</w:t>
            </w:r>
            <w:r>
              <w:rPr>
                <w:rFonts w:ascii="Times New Roman" w:hAnsi="Times New Roman"/>
              </w:rPr>
              <w:t xml:space="preserve"> помещений в процентах к общему количеству запланированных проверок для контроля за использованием муниципального имущества,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>*100, где</w:t>
            </w:r>
          </w:p>
          <w:p w14:paraId="6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проведенных проверок,</w:t>
            </w:r>
          </w:p>
          <w:p w14:paraId="6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проверок</w:t>
            </w:r>
          </w:p>
          <w:p w14:paraId="6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r>
              <w:rPr>
                <w:rFonts w:ascii="Times New Roman" w:hAnsi="Times New Roman"/>
              </w:rPr>
              <w:t>Комитета от 16.01.2025                          № КУИиЗО-04/3 «Об утверждении графика обследования переданных в безвозмездное пользование нежилых помещений и зданий на 2025 г.»;</w:t>
            </w:r>
          </w:p>
          <w:p w14:paraId="6F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Комитета от 16.01.2025                          № КУИиЗО-04/4 «Об утвер</w:t>
            </w:r>
            <w:r>
              <w:rPr>
                <w:rFonts w:ascii="Times New Roman" w:hAnsi="Times New Roman"/>
              </w:rPr>
              <w:t xml:space="preserve">ждении графика обследования переданных </w:t>
            </w:r>
            <w:r>
              <w:rPr>
                <w:rFonts w:ascii="Times New Roman" w:hAnsi="Times New Roman"/>
              </w:rPr>
              <w:t>в аренду муниципальных нежилых помещений на 2025 г.»;</w:t>
            </w:r>
          </w:p>
          <w:p w14:paraId="70000000">
            <w:r>
              <w:rPr>
                <w:rFonts w:ascii="Times New Roman" w:hAnsi="Times New Roman"/>
              </w:rPr>
              <w:t xml:space="preserve">Приказ Комитета от 31.01.2025                          № КУИиЗО-04/40 «Об утверждении графика обследования пустующих </w:t>
            </w:r>
            <w:r>
              <w:rPr>
                <w:rFonts w:ascii="Times New Roman" w:hAnsi="Times New Roman"/>
              </w:rPr>
              <w:t>муниципальных  нежилых</w:t>
            </w:r>
            <w:r>
              <w:rPr>
                <w:rFonts w:ascii="Times New Roman" w:hAnsi="Times New Roman"/>
              </w:rPr>
              <w:t xml:space="preserve"> помещений  на 2025 г.»</w:t>
            </w:r>
          </w:p>
        </w:tc>
      </w:tr>
      <w:tr>
        <w:tc>
          <w:tcPr>
            <w:tcW w:type="dxa" w:w="141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 Комплекс процессных </w:t>
            </w:r>
            <w:r>
              <w:rPr>
                <w:rFonts w:ascii="Times New Roman" w:hAnsi="Times New Roman"/>
              </w:rPr>
              <w:t>мероприятий  «</w:t>
            </w:r>
            <w:r>
              <w:rPr>
                <w:rFonts w:ascii="Times New Roman" w:hAnsi="Times New Roman"/>
              </w:rPr>
              <w:t>Увеличение уставного капитала хозяйствующих субъектов»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Перечислены взносы в уставной капитал хозяйствующих субъектов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7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кассовых расходов на взносы в уставный капитал</w:t>
            </w:r>
            <w:r>
              <w:rPr>
                <w:rFonts w:ascii="Times New Roman" w:hAnsi="Times New Roman"/>
              </w:rPr>
              <w:t xml:space="preserve"> хозяйствующим субъектам,</w:t>
            </w:r>
          </w:p>
          <w:p w14:paraId="7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расходов на взносы в уставный капитал хозяйствующим субъектам</w:t>
            </w:r>
          </w:p>
          <w:p w14:paraId="7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00000">
            <w:r>
              <w:rPr>
                <w:rFonts w:ascii="Times New Roman" w:hAnsi="Times New Roman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</w:t>
            </w:r>
            <w:r>
              <w:rPr>
                <w:rFonts w:ascii="Times New Roman" w:hAnsi="Times New Roman"/>
              </w:rPr>
              <w:t>а источников финансирования дефицита бюджета, главного администратора, администратора доходов бюджета (ф.0503127)</w:t>
            </w:r>
            <w:r>
              <w:t>  </w:t>
            </w:r>
          </w:p>
        </w:tc>
      </w:tr>
      <w:tr>
        <w:tc>
          <w:tcPr>
            <w:tcW w:type="dxa" w:w="141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00000">
            <w:pPr>
              <w:widowControl w:val="0"/>
              <w:spacing w:after="108" w:before="108" w:line="240" w:lineRule="auto"/>
              <w:ind/>
              <w:jc w:val="center"/>
              <w:outlineLvl w:val="0"/>
            </w:pPr>
            <w:r>
              <w:rPr>
                <w:rFonts w:ascii="Times New Roman" w:hAnsi="Times New Roman"/>
              </w:rPr>
              <w:t xml:space="preserve">1.3. Комплекс процессных </w:t>
            </w:r>
            <w:r>
              <w:rPr>
                <w:rFonts w:ascii="Times New Roman" w:hAnsi="Times New Roman"/>
              </w:rPr>
              <w:t>мероприятий  «</w:t>
            </w:r>
            <w:r>
              <w:rPr>
                <w:rFonts w:ascii="Times New Roman" w:hAnsi="Times New Roman"/>
              </w:rPr>
              <w:t>Приобретение транспортных средств и специализированной техники в муниципальную собственность»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</w:t>
            </w:r>
            <w:r>
              <w:rPr>
                <w:rFonts w:ascii="Symbol" w:hAnsi="Symbol"/>
              </w:rPr>
              <w:t>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, где </w:t>
            </w:r>
          </w:p>
          <w:p w14:paraId="7F000000">
            <w:pPr>
              <w:widowControl w:val="0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 о приемке, </w:t>
            </w:r>
            <w:r>
              <w:rPr>
                <w:rFonts w:ascii="Times New Roman" w:hAnsi="Times New Roman"/>
              </w:rPr>
              <w:t>сформированный в соответствии со статьей 94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>
        <w:tc>
          <w:tcPr>
            <w:tcW w:type="dxa" w:w="141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1.4. </w:t>
            </w:r>
            <w:r>
              <w:rPr>
                <w:rFonts w:ascii="Times New Roman" w:hAnsi="Times New Roman"/>
              </w:rPr>
              <w:t>Комплекс процессных мероприятий «Ремонт нежилых объектов, находящихся в муниципальной собственности города Магнитогорска»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</w:t>
            </w:r>
            <w:r>
              <w:rPr>
                <w:rFonts w:ascii="Symbol" w:hAnsi="Symbol"/>
              </w:rPr>
              <w:t>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, где </w:t>
            </w:r>
          </w:p>
          <w:p w14:paraId="8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о приемке, сформированный в соответствии со статьей 94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14:paraId="88000000"/>
    <w:sectPr>
      <w:headerReference r:id="rId1" w:type="first"/>
      <w:pgSz w:h="11908" w:orient="landscape" w:w="16848"/>
      <w:pgMar w:bottom="1134" w:footer="720" w:gutter="0" w:header="708" w:left="1134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160" w:line="252" w:lineRule="auto"/>
      <w:ind/>
    </w:pPr>
    <w:rPr>
      <w:rFonts w:ascii="Calibri" w:hAnsi="Calibri"/>
      <w:sz w:val="22"/>
    </w:rPr>
  </w:style>
  <w:style w:default="1" w:styleId="Style_4_ch" w:type="character">
    <w:name w:val="Normal"/>
    <w:link w:val="Style_4"/>
    <w:rPr>
      <w:rFonts w:ascii="Calibri" w:hAnsi="Calibri"/>
      <w:sz w:val="22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caption"/>
    <w:basedOn w:val="Style_4"/>
    <w:link w:val="Style_6_ch"/>
    <w:pPr>
      <w:spacing w:after="120" w:before="120"/>
      <w:ind/>
    </w:pPr>
    <w:rPr>
      <w:rFonts w:ascii="PT Astra Serif" w:hAnsi="PT Astra Serif"/>
      <w:i w:val="1"/>
      <w:sz w:val="24"/>
    </w:rPr>
  </w:style>
  <w:style w:styleId="Style_6_ch" w:type="character">
    <w:name w:val="caption"/>
    <w:basedOn w:val="Style_4_ch"/>
    <w:link w:val="Style_6"/>
    <w:rPr>
      <w:rFonts w:ascii="PT Astra Serif" w:hAnsi="PT Astra Serif"/>
      <w:i w:val="1"/>
      <w:sz w:val="24"/>
    </w:rPr>
  </w:style>
  <w:style w:styleId="Style_7" w:type="paragraph">
    <w:name w:val="Указатель1"/>
    <w:basedOn w:val="Style_4"/>
    <w:link w:val="Style_7_ch"/>
    <w:rPr>
      <w:rFonts w:ascii="PT Astra Serif" w:hAnsi="PT Astra Serif"/>
    </w:rPr>
  </w:style>
  <w:style w:styleId="Style_7_ch" w:type="character">
    <w:name w:val="Указатель1"/>
    <w:basedOn w:val="Style_4_ch"/>
    <w:link w:val="Style_7"/>
    <w:rPr>
      <w:rFonts w:ascii="PT Astra Serif" w:hAnsi="PT Astra Serif"/>
    </w:rPr>
  </w:style>
  <w:style w:styleId="Style_8" w:type="paragraph">
    <w:name w:val="toc 4"/>
    <w:next w:val="Style_4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4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Содержимое врезки"/>
    <w:basedOn w:val="Style_4"/>
    <w:link w:val="Style_10_ch"/>
  </w:style>
  <w:style w:styleId="Style_10_ch" w:type="character">
    <w:name w:val="Содержимое врезки"/>
    <w:basedOn w:val="Style_4_ch"/>
    <w:link w:val="Style_10"/>
  </w:style>
  <w:style w:styleId="Style_11" w:type="paragraph">
    <w:name w:val="toc 7"/>
    <w:next w:val="Style_4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Нормальный (таблица)"/>
    <w:basedOn w:val="Style_4"/>
    <w:next w:val="Style_4"/>
    <w:link w:val="Style_12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12_ch" w:type="character">
    <w:name w:val="Нормальный (таблица)"/>
    <w:basedOn w:val="Style_4_ch"/>
    <w:link w:val="Style_12"/>
    <w:rPr>
      <w:rFonts w:ascii="Arial" w:hAnsi="Arial"/>
      <w:sz w:val="24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4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Заголовок таблицы"/>
    <w:basedOn w:val="Style_16"/>
    <w:link w:val="Style_15_ch"/>
    <w:pPr>
      <w:ind/>
      <w:jc w:val="center"/>
    </w:pPr>
    <w:rPr>
      <w:b w:val="1"/>
    </w:rPr>
  </w:style>
  <w:style w:styleId="Style_15_ch" w:type="character">
    <w:name w:val="Заголовок таблицы"/>
    <w:basedOn w:val="Style_16_ch"/>
    <w:link w:val="Style_15"/>
    <w:rPr>
      <w:b w:val="1"/>
    </w:rPr>
  </w:style>
  <w:style w:styleId="Style_17" w:type="paragraph">
    <w:name w:val="Нижний колонтитул Знак"/>
    <w:link w:val="Style_17_ch"/>
    <w:rPr>
      <w:sz w:val="22"/>
    </w:rPr>
  </w:style>
  <w:style w:styleId="Style_17_ch" w:type="character">
    <w:name w:val="Нижний колонтитул Знак"/>
    <w:link w:val="Style_17"/>
    <w:rPr>
      <w:sz w:val="22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Колонтитул"/>
    <w:basedOn w:val="Style_4"/>
    <w:link w:val="Style_19_ch"/>
    <w:pPr>
      <w:tabs>
        <w:tab w:leader="none" w:pos="4819" w:val="center"/>
        <w:tab w:leader="none" w:pos="9638" w:val="right"/>
      </w:tabs>
      <w:ind/>
    </w:pPr>
  </w:style>
  <w:style w:styleId="Style_19_ch" w:type="character">
    <w:name w:val="Колонтитул"/>
    <w:basedOn w:val="Style_4_ch"/>
    <w:link w:val="Style_19"/>
  </w:style>
  <w:style w:styleId="Style_20" w:type="paragraph">
    <w:name w:val="Balloon Text"/>
    <w:basedOn w:val="Style_4"/>
    <w:link w:val="Style_20_ch"/>
    <w:pPr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4_ch"/>
    <w:link w:val="Style_20"/>
    <w:rPr>
      <w:rFonts w:ascii="Segoe UI" w:hAnsi="Segoe UI"/>
      <w:sz w:val="18"/>
    </w:rPr>
  </w:style>
  <w:style w:styleId="Style_21" w:type="paragraph">
    <w:name w:val="Заголовок1"/>
    <w:basedOn w:val="Style_4"/>
    <w:next w:val="Style_3"/>
    <w:link w:val="Style_21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1_ch" w:type="character">
    <w:name w:val="Заголовок1"/>
    <w:basedOn w:val="Style_4_ch"/>
    <w:link w:val="Style_21"/>
    <w:rPr>
      <w:rFonts w:ascii="PT Astra Serif" w:hAnsi="PT Astra Serif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toc 3"/>
    <w:next w:val="Style_4"/>
    <w:link w:val="Style_24_ch"/>
    <w:uiPriority w:val="39"/>
    <w:pPr>
      <w:ind w:firstLine="0" w:left="400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Верхний колонтитул Знак"/>
    <w:link w:val="Style_25_ch"/>
    <w:rPr>
      <w:sz w:val="22"/>
    </w:rPr>
  </w:style>
  <w:style w:styleId="Style_25_ch" w:type="character">
    <w:name w:val="Верхний колонтитул Знак"/>
    <w:link w:val="Style_25"/>
    <w:rPr>
      <w:sz w:val="22"/>
    </w:rPr>
  </w:style>
  <w:style w:styleId="Style_26" w:type="paragraph">
    <w:name w:val="heading 5"/>
    <w:next w:val="Style_4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List"/>
    <w:basedOn w:val="Style_3"/>
    <w:link w:val="Style_27_ch"/>
    <w:rPr>
      <w:rFonts w:ascii="PT Astra Serif" w:hAnsi="PT Astra Serif"/>
    </w:rPr>
  </w:style>
  <w:style w:styleId="Style_27_ch" w:type="character">
    <w:name w:val="List"/>
    <w:basedOn w:val="Style_3_ch"/>
    <w:link w:val="Style_27"/>
    <w:rPr>
      <w:rFonts w:ascii="PT Astra Serif" w:hAnsi="PT Astra Serif"/>
    </w:rPr>
  </w:style>
  <w:style w:styleId="Style_28" w:type="paragraph">
    <w:name w:val="footer"/>
    <w:basedOn w:val="Style_4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4_ch"/>
    <w:link w:val="Style_28"/>
  </w:style>
  <w:style w:styleId="Style_29" w:type="paragraph">
    <w:name w:val="heading 1"/>
    <w:next w:val="Style_4"/>
    <w:link w:val="Style_2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link w:val="Style_29"/>
    <w:rPr>
      <w:rFonts w:ascii="XO Thames" w:hAnsi="XO Thames"/>
      <w:b w:val="1"/>
      <w:sz w:val="32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toc 1"/>
    <w:next w:val="Style_4"/>
    <w:link w:val="Style_32_ch"/>
    <w:uiPriority w:val="39"/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16" w:type="paragraph">
    <w:name w:val="Содержимое таблицы"/>
    <w:basedOn w:val="Style_4"/>
    <w:link w:val="Style_16_ch"/>
    <w:pPr>
      <w:widowControl w:val="0"/>
      <w:ind/>
    </w:pPr>
  </w:style>
  <w:style w:styleId="Style_16_ch" w:type="character">
    <w:name w:val="Содержимое таблицы"/>
    <w:basedOn w:val="Style_4_ch"/>
    <w:link w:val="Style_16"/>
  </w:style>
  <w:style w:styleId="Style_34" w:type="paragraph">
    <w:name w:val="toc 9"/>
    <w:next w:val="Style_4"/>
    <w:link w:val="Style_34_ch"/>
    <w:uiPriority w:val="39"/>
    <w:pPr>
      <w:ind w:firstLine="0" w:left="1600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toc 8"/>
    <w:next w:val="Style_4"/>
    <w:link w:val="Style_35_ch"/>
    <w:uiPriority w:val="39"/>
    <w:pPr>
      <w:ind w:firstLine="0" w:left="1400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ConsPlusNormal"/>
    <w:link w:val="Style_36_ch"/>
    <w:pPr>
      <w:widowControl w:val="0"/>
      <w:ind/>
    </w:pPr>
    <w:rPr>
      <w:rFonts w:ascii="Calibri" w:hAnsi="Calibri"/>
      <w:sz w:val="22"/>
    </w:rPr>
  </w:style>
  <w:style w:styleId="Style_36_ch" w:type="character">
    <w:name w:val="ConsPlusNormal"/>
    <w:link w:val="Style_36"/>
    <w:rPr>
      <w:rFonts w:ascii="Calibri" w:hAnsi="Calibri"/>
      <w:sz w:val="22"/>
    </w:rPr>
  </w:style>
  <w:style w:styleId="Style_37" w:type="paragraph">
    <w:name w:val="Гиперссылка1"/>
    <w:link w:val="Style_37_ch"/>
    <w:rPr>
      <w:color w:val="0000FF"/>
      <w:u w:val="single"/>
    </w:rPr>
  </w:style>
  <w:style w:styleId="Style_37_ch" w:type="character">
    <w:name w:val="Гиперссылка1"/>
    <w:link w:val="Style_37"/>
    <w:rPr>
      <w:color w:val="0000FF"/>
      <w:u w:val="single"/>
    </w:rPr>
  </w:style>
  <w:style w:styleId="Style_38" w:type="paragraph">
    <w:name w:val="toc 5"/>
    <w:next w:val="Style_4"/>
    <w:link w:val="Style_38_ch"/>
    <w:uiPriority w:val="39"/>
    <w:pPr>
      <w:ind w:firstLine="0" w:left="800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Текст выноски Знак"/>
    <w:link w:val="Style_39_ch"/>
    <w:rPr>
      <w:rFonts w:ascii="Segoe UI" w:hAnsi="Segoe UI"/>
      <w:sz w:val="18"/>
    </w:rPr>
  </w:style>
  <w:style w:styleId="Style_39_ch" w:type="character">
    <w:name w:val="Текст выноски Знак"/>
    <w:link w:val="Style_39"/>
    <w:rPr>
      <w:rFonts w:ascii="Segoe UI" w:hAnsi="Segoe UI"/>
      <w:sz w:val="18"/>
    </w:rPr>
  </w:style>
  <w:style w:styleId="Style_40" w:type="paragraph">
    <w:name w:val="Subtitle"/>
    <w:next w:val="Style_4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3" w:type="paragraph">
    <w:name w:val="Body Text"/>
    <w:basedOn w:val="Style_4"/>
    <w:link w:val="Style_3_ch"/>
    <w:pPr>
      <w:spacing w:after="140" w:line="276" w:lineRule="auto"/>
      <w:ind/>
    </w:pPr>
  </w:style>
  <w:style w:styleId="Style_3_ch" w:type="character">
    <w:name w:val="Body Text"/>
    <w:basedOn w:val="Style_4_ch"/>
    <w:link w:val="Style_3"/>
  </w:style>
  <w:style w:styleId="Style_41" w:type="paragraph">
    <w:name w:val="Title"/>
    <w:next w:val="Style_4"/>
    <w:link w:val="Style_4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sz w:val="40"/>
    </w:rPr>
  </w:style>
  <w:style w:styleId="Style_42" w:type="paragraph">
    <w:name w:val="heading 4"/>
    <w:next w:val="Style_4"/>
    <w:link w:val="Style_4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43" w:type="paragraph">
    <w:name w:val="heading 2"/>
    <w:next w:val="Style_4"/>
    <w:link w:val="Style_4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3_ch" w:type="character">
    <w:name w:val="heading 2"/>
    <w:link w:val="Style_43"/>
    <w:rPr>
      <w:rFonts w:ascii="XO Thames" w:hAnsi="XO Thames"/>
      <w:b w:val="1"/>
      <w:sz w:val="28"/>
    </w:rPr>
  </w:style>
  <w:style w:styleId="Style_44" w:type="paragraph">
    <w:name w:val="Обычный1"/>
    <w:link w:val="Style_44_ch"/>
    <w:rPr>
      <w:rFonts w:ascii="Calibri" w:hAnsi="Calibri"/>
      <w:sz w:val="22"/>
    </w:rPr>
  </w:style>
  <w:style w:styleId="Style_44_ch" w:type="character">
    <w:name w:val="Обычный1"/>
    <w:link w:val="Style_44"/>
    <w:rPr>
      <w:rFonts w:ascii="Calibri" w:hAnsi="Calibri"/>
      <w:sz w:val="22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2025-06-09T09:35:31Z</dcterms:modified>
</cp:coreProperties>
</file>