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widowControl w:val="0"/>
        <w:spacing w:after="0" w:line="240" w:lineRule="auto"/>
        <w:ind w:firstLine="10632" w:left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1</w:t>
      </w:r>
    </w:p>
    <w:p w14:paraId="06000000">
      <w:pPr>
        <w:widowControl w:val="0"/>
        <w:spacing w:after="0" w:line="240" w:lineRule="auto"/>
        <w:ind w:firstLine="10632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постановлению администрации </w:t>
      </w:r>
    </w:p>
    <w:p w14:paraId="07000000">
      <w:pPr>
        <w:widowControl w:val="0"/>
        <w:spacing w:after="0" w:line="240" w:lineRule="auto"/>
        <w:ind w:firstLine="10632" w:left="0"/>
        <w:rPr>
          <w:rFonts w:ascii="Times New Roman" w:hAnsi="Times New Roman"/>
        </w:rPr>
      </w:pPr>
      <w:r>
        <w:rPr>
          <w:rFonts w:ascii="Times New Roman" w:hAnsi="Times New Roman"/>
        </w:rPr>
        <w:t>города Магнитогорска</w:t>
      </w:r>
    </w:p>
    <w:p w14:paraId="08000000">
      <w:pPr>
        <w:widowControl w:val="0"/>
        <w:spacing w:after="0" w:line="240" w:lineRule="auto"/>
        <w:ind w:firstLine="10632" w:left="0"/>
        <w:rPr>
          <w:rFonts w:ascii="Times New Roman" w:hAnsi="Times New Roman"/>
        </w:rPr>
      </w:pPr>
      <w:r>
        <w:rPr>
          <w:rFonts w:ascii="Times New Roman" w:hAnsi="Times New Roman"/>
        </w:rPr>
        <w:t>от 21.05.2025 № 4472-П</w:t>
      </w:r>
    </w:p>
    <w:p w14:paraId="09000000">
      <w:pPr>
        <w:pStyle w:val="Style_2"/>
        <w:ind w:firstLine="0" w:left="10205"/>
        <w:rPr>
          <w:rFonts w:ascii="Times New Roman" w:hAnsi="Times New Roman"/>
        </w:rPr>
      </w:pPr>
    </w:p>
    <w:p w14:paraId="0A000000">
      <w:pPr>
        <w:pStyle w:val="Style_2"/>
        <w:ind w:firstLine="427" w:left="10205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1</w:t>
      </w:r>
    </w:p>
    <w:p w14:paraId="0B000000">
      <w:pPr>
        <w:pStyle w:val="Style_2"/>
        <w:ind w:firstLine="427" w:left="10205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</w:t>
      </w:r>
    </w:p>
    <w:p w14:paraId="0C000000">
      <w:pPr>
        <w:pStyle w:val="Style_2"/>
        <w:ind w:firstLine="427" w:left="10205"/>
        <w:rPr>
          <w:rFonts w:ascii="Times New Roman" w:hAnsi="Times New Roman"/>
        </w:rPr>
      </w:pPr>
      <w:r>
        <w:rPr>
          <w:rFonts w:ascii="Times New Roman" w:hAnsi="Times New Roman"/>
        </w:rPr>
        <w:t>«Развитие дорожного хозяйства и</w:t>
      </w:r>
    </w:p>
    <w:p w14:paraId="0D000000">
      <w:pPr>
        <w:pStyle w:val="Style_2"/>
        <w:ind w:firstLine="427" w:left="1020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благоустройства города Магнитогорска» </w:t>
      </w:r>
    </w:p>
    <w:p w14:paraId="0E000000">
      <w:pPr>
        <w:pStyle w:val="Style_2"/>
        <w:ind w:firstLine="427" w:left="10205"/>
        <w:rPr>
          <w:rFonts w:ascii="Times New Roman" w:hAnsi="Times New Roman"/>
        </w:rPr>
      </w:pPr>
      <w:r>
        <w:rPr>
          <w:rFonts w:ascii="Times New Roman" w:hAnsi="Times New Roman"/>
        </w:rPr>
        <w:t>на 2025-2030 годы»</w:t>
      </w:r>
    </w:p>
    <w:p w14:paraId="0F000000">
      <w:pPr>
        <w:pStyle w:val="Style_2"/>
        <w:ind/>
        <w:jc w:val="center"/>
        <w:rPr>
          <w:rFonts w:ascii="Times New Roman" w:hAnsi="Times New Roman"/>
          <w:sz w:val="10"/>
        </w:rPr>
      </w:pPr>
      <w:bookmarkStart w:id="1" w:name="P491"/>
      <w:bookmarkEnd w:id="1"/>
    </w:p>
    <w:p w14:paraId="1000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1100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Муниципальной программы</w:t>
      </w:r>
    </w:p>
    <w:p w14:paraId="12000000">
      <w:pPr>
        <w:pStyle w:val="Style_3"/>
        <w:ind/>
        <w:jc w:val="center"/>
        <w:rPr>
          <w:rFonts w:ascii="Times New Roman" w:hAnsi="Times New Roman"/>
          <w:b w:val="0"/>
          <w:strike w:val="1"/>
        </w:rPr>
      </w:pPr>
      <w:r>
        <w:rPr>
          <w:rFonts w:ascii="Times New Roman" w:hAnsi="Times New Roman"/>
          <w:b w:val="0"/>
        </w:rPr>
        <w:t>«</w:t>
      </w:r>
      <w:r>
        <w:rPr>
          <w:rFonts w:ascii="Times New Roman" w:hAnsi="Times New Roman"/>
          <w:b w:val="0"/>
          <w:sz w:val="28"/>
        </w:rPr>
        <w:t xml:space="preserve">Развитие дорожного хозяйства и благоустройства города Магнитогорска» </w:t>
      </w:r>
      <w:r>
        <w:rPr>
          <w:rFonts w:ascii="Times New Roman" w:hAnsi="Times New Roman"/>
          <w:b w:val="0"/>
          <w:sz w:val="28"/>
        </w:rPr>
        <w:br/>
      </w:r>
      <w:r>
        <w:rPr>
          <w:rFonts w:ascii="Times New Roman" w:hAnsi="Times New Roman"/>
          <w:b w:val="0"/>
          <w:sz w:val="28"/>
        </w:rPr>
        <w:t>на 2025-2030 годы</w:t>
      </w:r>
    </w:p>
    <w:p w14:paraId="13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1400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1500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tblInd w:type="dxa" w:w="-5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3261"/>
        <w:gridCol w:w="3616"/>
        <w:gridCol w:w="7693"/>
      </w:tblGrid>
      <w:tr>
        <w:trPr>
          <w:trHeight w:hRule="atLeast" w:val="513"/>
        </w:trPr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Куратор муниципальной программы</w:t>
            </w:r>
          </w:p>
        </w:tc>
        <w:tc>
          <w:tcPr>
            <w:tcW w:type="dxa" w:w="1130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Заместитель главы города, курирующий вопросы городского хозяйства </w:t>
            </w:r>
          </w:p>
        </w:tc>
      </w:tr>
      <w:tr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муниципальной программы</w:t>
            </w:r>
          </w:p>
        </w:tc>
        <w:tc>
          <w:tcPr>
            <w:tcW w:type="dxa" w:w="1130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00000">
            <w:pPr>
              <w:pStyle w:val="Style_2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Соисполнители муниципальной программы</w:t>
            </w:r>
          </w:p>
        </w:tc>
        <w:tc>
          <w:tcPr>
            <w:tcW w:type="dxa" w:w="1130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Период реализации муниципальной программы</w:t>
            </w:r>
          </w:p>
        </w:tc>
        <w:tc>
          <w:tcPr>
            <w:tcW w:type="dxa" w:w="1130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2025-2030</w:t>
            </w:r>
          </w:p>
        </w:tc>
      </w:tr>
      <w:tr>
        <w:trPr>
          <w:trHeight w:hRule="atLeast" w:val="1466"/>
        </w:trPr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Цели/задачи муниципальной программы</w:t>
            </w:r>
          </w:p>
        </w:tc>
        <w:tc>
          <w:tcPr>
            <w:tcW w:type="dxa" w:w="3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Цель 1. Улучшение транспортной связанности территорий путем развития дорожно-транспортной инфраструктуры, маршрутной сети и повышение экологичности транспортного комплекса.</w:t>
            </w:r>
          </w:p>
          <w:p w14:paraId="20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21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Цель 2. Развитие современной и эффективной автомобильно-дорожной инфраструктуры, реализация современной политики в благоустройстве.</w:t>
            </w:r>
          </w:p>
        </w:tc>
        <w:tc>
          <w:tcPr>
            <w:tcW w:type="dxa" w:w="7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Приведение в нормативное состояние сети автомобильных дорог общего пользования местного значения, объектов улично-дорожной сети города Магнитогорска.</w:t>
            </w:r>
          </w:p>
          <w:p w14:paraId="23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2. Повышение качества жизни населения за счет совершенствования сети автомобильных дорог общего пользования местного значения.</w:t>
            </w:r>
          </w:p>
          <w:p w14:paraId="24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3. Повышение уровня благоустройства общественных территорий.</w:t>
            </w:r>
          </w:p>
          <w:p w14:paraId="25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4. Создание условий для снижения количества дорожно-транспортных происшествий на улично-дорожной сети и повышения уровня безопасности дорожного движения.</w:t>
            </w:r>
          </w:p>
          <w:p w14:paraId="26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5. Обеспечение комфортного проживания населения и улучшение архитектурного облика города Магнитогорска.</w:t>
            </w:r>
          </w:p>
          <w:p w14:paraId="2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6. Повышение качества содержания территорий кладбищ в городе Магнитогорске.</w:t>
            </w:r>
          </w:p>
          <w:p w14:paraId="28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7. Оказание услуг по погребению и иные мероприятия в сфере похоронного дела.</w:t>
            </w:r>
          </w:p>
          <w:p w14:paraId="29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8. Обеспечение комфортного проживания населения и улучшение архитектурного облика города Магнитогорска, в том числе в вечернее и ночное время суток.</w:t>
            </w:r>
          </w:p>
          <w:p w14:paraId="2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9.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Создание условий для обеспечения деятельности муниципального казенного учреждения «Управление капитального строительства».</w:t>
            </w:r>
          </w:p>
          <w:p w14:paraId="2B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10. Создание условий для обеспечения деятельности муниципального казенного учреждения «Комбинат похоронно-ритуальных услуг».</w:t>
            </w:r>
          </w:p>
          <w:p w14:paraId="2C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11.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highlight w:val="white"/>
              </w:rPr>
              <w:t>Реализация мероприятий, имеющих приоритетное значение для жителей муниципального образования, посредством вовлечения граждан в бюджетный процесс по решению вопросов местного значения</w:t>
            </w:r>
          </w:p>
        </w:tc>
      </w:tr>
      <w:tr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Направления</w:t>
            </w:r>
          </w:p>
        </w:tc>
        <w:tc>
          <w:tcPr>
            <w:tcW w:type="dxa" w:w="1130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1. «Дорожная деятельность в городе Магнитогорске»</w:t>
            </w:r>
          </w:p>
          <w:p w14:paraId="2F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2. «Благоустройство территории города Магнитогорска»</w:t>
            </w:r>
          </w:p>
        </w:tc>
      </w:tr>
      <w:tr>
        <w:trPr>
          <w:trHeight w:hRule="atLeast" w:val="796"/>
        </w:trPr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Объемы финансового обеспечения за весь период реализации (тыс. руб.)</w:t>
            </w:r>
          </w:p>
        </w:tc>
        <w:tc>
          <w:tcPr>
            <w:tcW w:type="dxa" w:w="1130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  <w:r>
              <w:rPr>
                <w:rFonts w:ascii="Times New Roman" w:hAnsi="Times New Roman"/>
                <w:color w:val="000000"/>
                <w:sz w:val="24"/>
              </w:rPr>
              <w:t> 711 196,71</w:t>
            </w:r>
          </w:p>
        </w:tc>
      </w:tr>
      <w:tr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с национальными целями развития Российской Федерации/государственной программой</w:t>
            </w:r>
          </w:p>
        </w:tc>
        <w:tc>
          <w:tcPr>
            <w:tcW w:type="dxa" w:w="1130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00000">
            <w:pPr>
              <w:pStyle w:val="Style_5"/>
              <w:spacing w:after="0"/>
              <w:ind/>
            </w:pPr>
            <w:r>
              <w:t>Национальная цель в соответствии с </w:t>
            </w:r>
            <w:r>
              <w:fldChar w:fldCharType="begin"/>
            </w:r>
            <w:r>
              <w:instrText>HYPERLINK "https://docs.cntd.ru/document/565341150#7D20K3"</w:instrText>
            </w:r>
            <w:r>
              <w:fldChar w:fldCharType="separate"/>
            </w:r>
            <w:r>
              <w:t xml:space="preserve">Указом Президента Российской Федерации от 07.05.2024 № 309 </w:t>
            </w:r>
            <w:r>
              <w:t>«</w:t>
            </w:r>
            <w:r>
              <w:t>О национальных целях развития Российской Федерации на период до 2030 года и на перспективу до 2030 года</w:t>
            </w:r>
            <w:r>
              <w:t>»</w:t>
            </w:r>
            <w:r>
              <w:fldChar w:fldCharType="end"/>
            </w:r>
            <w:r>
              <w:t>: комфортная и безопасная среда для жизни.</w:t>
            </w:r>
            <w:r>
              <w:br/>
            </w:r>
            <w:r>
              <w:t xml:space="preserve">Целевой показатель национальной цели - увеличение к 2030 году доли соответствующих нормативным </w:t>
            </w:r>
            <w:r>
              <w:t>требованиям автомобильных дорог федерального значения и дорог крупнейших городских агломераций не менее чем до 85 процентов, опорной сети автомобильных дорог - не менее чем до 85 процентов, автомобильных дорог регионального или межмуниципального значения - не менее чем до 60 процентов.</w:t>
            </w:r>
          </w:p>
          <w:p w14:paraId="34000000">
            <w:pPr>
              <w:pStyle w:val="Style_6"/>
              <w:spacing w:after="0" w:line="270" w:lineRule="atLeast"/>
              <w:ind/>
              <w:jc w:val="both"/>
              <w:rPr>
                <w:color w:val="333333"/>
              </w:rPr>
            </w:pPr>
            <w:r>
              <w:fldChar w:fldCharType="begin"/>
            </w:r>
            <w:r>
              <w:instrText>HYPERLINK "https://docs.cntd.ru/document/561693876#64U0IK"</w:instrText>
            </w:r>
            <w:r>
              <w:fldChar w:fldCharType="separate"/>
            </w:r>
            <w:r>
              <w:t xml:space="preserve">Государственная программа Челябинской области </w:t>
            </w:r>
            <w:r>
              <w:t>«</w:t>
            </w:r>
            <w:r>
              <w:t>Развитие дорожного хозяйства и транспортной доступности в Челябинской области</w:t>
            </w:r>
            <w:r>
              <w:t>»</w:t>
            </w:r>
            <w:r>
              <w:fldChar w:fldCharType="end"/>
            </w:r>
            <w:r>
              <w:t>, утверждена </w:t>
            </w:r>
            <w:r>
              <w:fldChar w:fldCharType="begin"/>
            </w:r>
            <w:r>
              <w:instrText>HYPERLINK "https://docs.cntd.ru/document/561693876#64U0IK"</w:instrText>
            </w:r>
            <w:r>
              <w:fldChar w:fldCharType="separate"/>
            </w:r>
            <w:r>
              <w:t>постановлением Правительства Челябинской области от 19.12.2019 № 552-П</w:t>
            </w:r>
            <w:r>
              <w:fldChar w:fldCharType="end"/>
            </w:r>
            <w:r>
              <w:t>.</w:t>
            </w:r>
          </w:p>
        </w:tc>
      </w:tr>
    </w:tbl>
    <w:p w14:paraId="35000000">
      <w:pPr>
        <w:pStyle w:val="Style_2"/>
        <w:ind/>
        <w:jc w:val="center"/>
        <w:outlineLvl w:val="1"/>
        <w:rPr>
          <w:rFonts w:ascii="Times New Roman" w:hAnsi="Times New Roman"/>
        </w:rPr>
      </w:pPr>
      <w:bookmarkStart w:id="2" w:name="P530"/>
      <w:bookmarkEnd w:id="2"/>
    </w:p>
    <w:p w14:paraId="3600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t xml:space="preserve">2. </w:t>
      </w:r>
      <w:r>
        <w:rPr>
          <w:rFonts w:ascii="Times New Roman" w:hAnsi="Times New Roman"/>
          <w:sz w:val="24"/>
        </w:rPr>
        <w:t>Показатели муниципальной программы</w:t>
      </w:r>
    </w:p>
    <w:p w14:paraId="37000000">
      <w:pPr>
        <w:pStyle w:val="Style_2"/>
        <w:ind/>
        <w:jc w:val="center"/>
        <w:rPr>
          <w:rFonts w:ascii="Times New Roman" w:hAnsi="Times New Roman"/>
          <w:sz w:val="16"/>
        </w:rPr>
      </w:pPr>
    </w:p>
    <w:tbl>
      <w:tblPr>
        <w:tblStyle w:val="Style_4"/>
        <w:tblW w:type="auto" w:w="0"/>
        <w:tblInd w:type="dxa" w:w="-289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8"/>
        <w:gridCol w:w="4252"/>
        <w:gridCol w:w="1276"/>
        <w:gridCol w:w="2835"/>
        <w:gridCol w:w="709"/>
        <w:gridCol w:w="567"/>
        <w:gridCol w:w="567"/>
        <w:gridCol w:w="709"/>
        <w:gridCol w:w="567"/>
        <w:gridCol w:w="567"/>
        <w:gridCol w:w="2409"/>
      </w:tblGrid>
      <w:t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type="dxa" w:w="42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28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3686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  <w:tc>
          <w:tcPr>
            <w:tcW w:type="dxa" w:w="24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Ответственный за достижение показателя </w:t>
            </w:r>
          </w:p>
        </w:tc>
      </w:tr>
      <w:tr>
        <w:trPr>
          <w:trHeight w:hRule="atLeast" w:val="574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24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atLeast" w:val="150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type="dxa" w:w="4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9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10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11</w:t>
            </w:r>
          </w:p>
        </w:tc>
      </w:tr>
      <w:tr>
        <w:tc>
          <w:tcPr>
            <w:tcW w:type="dxa" w:w="15026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Цель муниципальной программы </w:t>
            </w:r>
            <w:bookmarkStart w:id="3" w:name="_GoBack"/>
            <w:r>
              <w:rPr>
                <w:rFonts w:ascii="Times New Roman" w:hAnsi="Times New Roman"/>
              </w:rPr>
              <w:t>«</w:t>
            </w:r>
            <w:bookmarkEnd w:id="3"/>
            <w:r>
              <w:rPr>
                <w:rFonts w:ascii="Times New Roman" w:hAnsi="Times New Roman"/>
              </w:rPr>
              <w:t>Улучшение транспортной связанности территорий путем развития дорожно-транспортной инфраструктуры, маршрутной сети и повышение экологичности транспортного комплекса»</w:t>
            </w:r>
          </w:p>
        </w:tc>
      </w:tr>
      <w:tr>
        <w:trPr>
          <w:trHeight w:hRule="atLeast" w:val="1514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00000">
            <w:pPr>
              <w:widowControl w:val="0"/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type="dxa" w:w="4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9,7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9,5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8,9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8,7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rPr>
          <w:trHeight w:hRule="atLeast" w:val="631"/>
        </w:trPr>
        <w:tc>
          <w:tcPr>
            <w:tcW w:type="dxa" w:w="15026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Цель муниципальной программы «Развитие современной и эффективной автомобильно-дорожной инфраструктуры, реализация современной политики в благоустройстве»</w:t>
            </w:r>
          </w:p>
        </w:tc>
      </w:tr>
      <w:tr>
        <w:trPr>
          <w:trHeight w:hRule="atLeast" w:val="1360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00000">
            <w:pPr>
              <w:widowControl w:val="0"/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</w:t>
            </w:r>
          </w:p>
        </w:tc>
        <w:tc>
          <w:tcPr>
            <w:tcW w:type="dxa" w:w="4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выполненных мероприятий по строительству, капитальному ремонту, ремонту и содержанию автомобильных дорог общего пользования местного значения города от планируемых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24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00000">
            <w:pPr>
              <w:widowControl w:val="0"/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2.2.</w:t>
            </w:r>
          </w:p>
        </w:tc>
        <w:tc>
          <w:tcPr>
            <w:tcW w:type="dxa" w:w="4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выполненных мероприятий по строительству, капитальному ремонту, ремонту и содержанию объектов благоустройства города от планируемых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24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00000">
            <w:pPr>
              <w:widowControl w:val="0"/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</w:t>
            </w:r>
          </w:p>
        </w:tc>
        <w:tc>
          <w:tcPr>
            <w:tcW w:type="dxa" w:w="4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color="000000"/>
              </w:rPr>
              <w:t>Процент горения светильников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type="dxa" w:w="24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00000">
            <w:pPr>
              <w:widowControl w:val="0"/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2.4.</w:t>
            </w:r>
          </w:p>
        </w:tc>
        <w:tc>
          <w:tcPr>
            <w:tcW w:type="dxa" w:w="4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u w:color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Оказание услуг по погребению согласно гарантированному перечню услуг по погребению, оказываемых на безвозмездной основе лицам, взявшим на себя ответственность осуществить погребение умершего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144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type="dxa" w:w="24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</w:tbl>
    <w:p w14:paraId="85000000">
      <w:pPr>
        <w:pStyle w:val="Style_2"/>
        <w:keepNext w:val="1"/>
        <w:ind/>
        <w:jc w:val="center"/>
        <w:outlineLvl w:val="1"/>
        <w:rPr>
          <w:rFonts w:ascii="Times New Roman" w:hAnsi="Times New Roman"/>
        </w:rPr>
      </w:pPr>
      <w:bookmarkStart w:id="4" w:name="P688"/>
      <w:bookmarkEnd w:id="4"/>
    </w:p>
    <w:p w14:paraId="8600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</w:t>
      </w:r>
    </w:p>
    <w:p w14:paraId="87000000">
      <w:pPr>
        <w:pStyle w:val="Style_2"/>
        <w:keepNext w:val="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муниципальной программы в 2025 году</w:t>
      </w:r>
    </w:p>
    <w:p w14:paraId="8800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2"/>
        <w:gridCol w:w="5529"/>
        <w:gridCol w:w="1275"/>
        <w:gridCol w:w="567"/>
        <w:gridCol w:w="567"/>
        <w:gridCol w:w="567"/>
        <w:gridCol w:w="709"/>
        <w:gridCol w:w="567"/>
        <w:gridCol w:w="709"/>
        <w:gridCol w:w="709"/>
        <w:gridCol w:w="708"/>
        <w:gridCol w:w="709"/>
        <w:gridCol w:w="567"/>
        <w:gridCol w:w="709"/>
        <w:gridCol w:w="1134"/>
      </w:tblGrid>
      <w:tr>
        <w:tc>
          <w:tcPr>
            <w:tcW w:type="dxa" w:w="5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8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52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муниципальной программы</w:t>
            </w:r>
          </w:p>
        </w:tc>
        <w:tc>
          <w:tcPr>
            <w:tcW w:type="dxa" w:w="127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7088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8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c>
          <w:tcPr>
            <w:tcW w:type="dxa" w:w="5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5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9,7</w:t>
            </w:r>
          </w:p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5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Доля выполненных мероприятий по строительству, реконструкции, капитальному ремонту, ремонту и содержанию автомобильных дорог общего пользования местного значения города от планируемых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5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Доля выполненных мероприятий по строительству, капитальному ремонту, ремонту и содержанию объектов </w:t>
            </w:r>
            <w:r>
              <w:rPr>
                <w:rFonts w:ascii="Times New Roman" w:hAnsi="Times New Roman"/>
              </w:rPr>
              <w:t>благоустройства города от планируемых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5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u w:color="000000"/>
              </w:rPr>
              <w:t>Процент горения светильников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5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Оказание услуг по погребению согласно гарантированному перечню услуг по погребению, оказываемых на безвозмездной основе лицам, взявшим на себя ответственность осуществить погребение умершего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</w:tr>
    </w:tbl>
    <w:p w14:paraId="F500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bookmarkStart w:id="5" w:name="P804"/>
      <w:bookmarkEnd w:id="5"/>
      <w:r>
        <w:rPr>
          <w:rFonts w:ascii="Times New Roman" w:hAnsi="Times New Roman"/>
          <w:sz w:val="24"/>
        </w:rPr>
        <w:t>4. Структура муниципальной программы</w:t>
      </w:r>
    </w:p>
    <w:p w14:paraId="F600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tblInd w:type="dxa" w:w="-572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993"/>
        <w:gridCol w:w="6520"/>
        <w:gridCol w:w="3827"/>
        <w:gridCol w:w="4395"/>
      </w:tblGrid>
      <w:tr>
        <w:trPr>
          <w:trHeight w:hRule="atLeast" w:val="1036"/>
          <w:tblHeader/>
        </w:trP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</w:t>
            </w:r>
          </w:p>
          <w:p w14:paraId="F8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6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структурного элемента</w:t>
            </w:r>
          </w:p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type="dxa" w:w="4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с показателями</w:t>
            </w:r>
            <w:r>
              <w:rPr>
                <w:rFonts w:ascii="Times New Roman" w:hAnsi="Times New Roman"/>
                <w:sz w:val="24"/>
              </w:rPr>
              <w:t xml:space="preserve"> муниципальной программы</w:t>
            </w:r>
          </w:p>
        </w:tc>
      </w:tr>
      <w:tr>
        <w:trPr>
          <w:trHeight w:hRule="atLeast" w:val="75"/>
        </w:trP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00000">
            <w:pPr>
              <w:pStyle w:val="Style_2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type="dxa" w:w="6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00000">
            <w:pPr>
              <w:pStyle w:val="Style_2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00000">
            <w:pPr>
              <w:pStyle w:val="Style_2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type="dxa" w:w="4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00000">
            <w:pPr>
              <w:pStyle w:val="Style_2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</w:t>
            </w:r>
          </w:p>
        </w:tc>
      </w:tr>
      <w:tr>
        <w:tc>
          <w:tcPr>
            <w:tcW w:type="dxa" w:w="1573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Направление «Дорожная деятельность в городе Магнитогорске»</w:t>
            </w:r>
          </w:p>
        </w:tc>
      </w:tr>
      <w:tr>
        <w:tc>
          <w:tcPr>
            <w:tcW w:type="dxa" w:w="1573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10000">
            <w:pPr>
              <w:pStyle w:val="Style_2"/>
              <w:numPr>
                <w:ilvl w:val="1"/>
                <w:numId w:val="1"/>
              </w:num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Региональный проект «Региональная и местная дорожная сеть»</w:t>
            </w:r>
          </w:p>
        </w:tc>
      </w:tr>
      <w:tr>
        <w:trPr>
          <w:trHeight w:hRule="atLeast" w:val="520"/>
        </w:trPr>
        <w:tc>
          <w:tcPr>
            <w:tcW w:type="dxa" w:w="751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реализацию: 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82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реализации: 2025 – 2030</w:t>
            </w:r>
          </w:p>
        </w:tc>
      </w:tr>
      <w:tr>
        <w:trPr>
          <w:trHeight w:hRule="atLeast" w:val="1441"/>
        </w:trP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1.1.1.</w:t>
            </w:r>
          </w:p>
        </w:tc>
        <w:tc>
          <w:tcPr>
            <w:tcW w:type="dxa" w:w="6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1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</w:t>
            </w:r>
            <w:r>
              <w:rPr>
                <w:rFonts w:ascii="Times New Roman" w:hAnsi="Times New Roman"/>
              </w:rPr>
              <w:t>Приведение в нормативное состояние сети автомобильных дорог общего пользования местного значения, объектов улично-дорожной сети города Магнитогорска</w:t>
            </w:r>
          </w:p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доли дорожной сети в крупнейших городских агломерациях, соответствующей нормативным требованиям, на уровне не менее 95 процентов</w:t>
            </w:r>
          </w:p>
        </w:tc>
        <w:tc>
          <w:tcPr>
            <w:tcW w:type="dxa" w:w="4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</w:tr>
      <w:tr>
        <w:tc>
          <w:tcPr>
            <w:tcW w:type="dxa" w:w="1573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10000">
            <w:pPr>
              <w:pStyle w:val="Style_2"/>
              <w:numPr>
                <w:ilvl w:val="1"/>
                <w:numId w:val="1"/>
              </w:num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Муниципальный проект</w:t>
            </w:r>
            <w:r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  <w:sz w:val="24"/>
              </w:rPr>
              <w:t>Строительство и реконструкция автомобильных дорог общего пользования местного значения в городе Магнитогорске»</w:t>
            </w:r>
          </w:p>
        </w:tc>
      </w:tr>
      <w:tr>
        <w:tc>
          <w:tcPr>
            <w:tcW w:type="dxa" w:w="751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1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реализацию: 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82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реализации: 2025 – 2030</w:t>
            </w:r>
          </w:p>
        </w:tc>
      </w:tr>
      <w:t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1.2.1.</w:t>
            </w:r>
          </w:p>
        </w:tc>
        <w:tc>
          <w:tcPr>
            <w:tcW w:type="dxa" w:w="6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1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</w:t>
            </w:r>
            <w:r>
              <w:rPr>
                <w:rFonts w:ascii="Times New Roman" w:hAnsi="Times New Roman"/>
              </w:rPr>
              <w:t>Повышение качества жизни населения за счет совершенствования сети автомобильных дорог общего пользования местного значения</w:t>
            </w:r>
          </w:p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xml:space="preserve">Прирост протяженности автомобильных дорог общего пользования местного значения </w:t>
            </w:r>
          </w:p>
        </w:tc>
        <w:tc>
          <w:tcPr>
            <w:tcW w:type="dxa" w:w="4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</w:tr>
      <w:tr>
        <w:tc>
          <w:tcPr>
            <w:tcW w:type="dxa" w:w="1573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10000">
            <w:pPr>
              <w:pStyle w:val="Style_2"/>
              <w:numPr>
                <w:ilvl w:val="1"/>
                <w:numId w:val="1"/>
              </w:num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 процессных мероприятий «Капитальный ремонт, ремонт и содержание автомобильных дорог общего пользования местного значения в городе Магнитогорске»</w:t>
            </w:r>
          </w:p>
        </w:tc>
      </w:tr>
      <w:tr>
        <w:tc>
          <w:tcPr>
            <w:tcW w:type="dxa" w:w="751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реализацию: 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82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Срок реализации: 2025 – 2030 </w:t>
            </w:r>
          </w:p>
        </w:tc>
      </w:tr>
      <w:tr>
        <w:trPr>
          <w:trHeight w:hRule="atLeast" w:val="2039"/>
        </w:trP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1.3.1.</w:t>
            </w:r>
          </w:p>
        </w:tc>
        <w:tc>
          <w:tcPr>
            <w:tcW w:type="dxa" w:w="6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1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</w:t>
            </w:r>
            <w:r>
              <w:rPr>
                <w:rFonts w:ascii="Times New Roman" w:hAnsi="Times New Roman"/>
              </w:rPr>
              <w:t>Создание условий для снижения количества дорожно-транспортных происшествий на улично-дорожной сети и повышения уровня безопасности дорожного движения</w:t>
            </w:r>
          </w:p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в результате капитального ремонта</w:t>
            </w:r>
          </w:p>
        </w:tc>
        <w:tc>
          <w:tcPr>
            <w:tcW w:type="dxa" w:w="4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10000">
            <w:pPr>
              <w:pStyle w:val="Style_7"/>
              <w:ind w:firstLine="0" w:left="11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</w:t>
            </w:r>
            <w:r>
              <w:rPr>
                <w:rFonts w:ascii="Times New Roman" w:hAnsi="Times New Roman"/>
                <w:color w:val="000000"/>
              </w:rPr>
              <w:t>я</w:t>
            </w:r>
          </w:p>
        </w:tc>
      </w:tr>
      <w:tr>
        <w:trPr>
          <w:trHeight w:hRule="atLeast" w:val="498"/>
        </w:trPr>
        <w:tc>
          <w:tcPr>
            <w:tcW w:type="dxa" w:w="1573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Направление «Благоустройство территории города Магнитогорска»</w:t>
            </w:r>
          </w:p>
        </w:tc>
      </w:tr>
      <w:tr>
        <w:trPr>
          <w:trHeight w:hRule="atLeast" w:val="498"/>
        </w:trPr>
        <w:tc>
          <w:tcPr>
            <w:tcW w:type="dxa" w:w="1573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 Муниципальный проект «Строительство и реконструкция объектов благоустройства в городе Магнитогорске»</w:t>
            </w:r>
          </w:p>
        </w:tc>
      </w:tr>
      <w:tr>
        <w:trPr>
          <w:trHeight w:hRule="atLeast" w:val="720"/>
        </w:trPr>
        <w:tc>
          <w:tcPr>
            <w:tcW w:type="dxa" w:w="751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реализацию: 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82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Срок реализации: 2025 – 2030 </w:t>
            </w:r>
          </w:p>
        </w:tc>
      </w:tr>
      <w:tr>
        <w:trPr>
          <w:trHeight w:hRule="atLeast" w:val="498"/>
        </w:trP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2.1.1.</w:t>
            </w:r>
          </w:p>
        </w:tc>
        <w:tc>
          <w:tcPr>
            <w:tcW w:type="dxa" w:w="6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1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</w:t>
            </w:r>
            <w:r>
              <w:rPr>
                <w:rFonts w:ascii="Times New Roman" w:hAnsi="Times New Roman"/>
              </w:rPr>
              <w:t>Повышение уровня благоустройства общественных территорий</w:t>
            </w:r>
          </w:p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уровня благоустройства общественных территорий города Магнитогорска</w:t>
            </w:r>
          </w:p>
        </w:tc>
        <w:tc>
          <w:tcPr>
            <w:tcW w:type="dxa" w:w="4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Доля выполненных мероприятий по строительству, капитальному ремонту, ремонту и содержанию объектов благоустройства города от планируемых</w:t>
            </w:r>
          </w:p>
        </w:tc>
      </w:tr>
      <w:tr>
        <w:tc>
          <w:tcPr>
            <w:tcW w:type="dxa" w:w="1573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2.2. Комплекс процессных мероприятий «Капитальное ремонт, ремонт и содержание объектов благоустройства в городе Магнитогорске»</w:t>
            </w:r>
          </w:p>
        </w:tc>
      </w:tr>
      <w:tr>
        <w:tc>
          <w:tcPr>
            <w:tcW w:type="dxa" w:w="751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реализацию: 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82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Срок реализации: 2025 – 2030 </w:t>
            </w:r>
          </w:p>
        </w:tc>
      </w:tr>
      <w:tr>
        <w:trPr>
          <w:trHeight w:hRule="atLeast" w:val="3315"/>
        </w:trP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2.2.1.</w:t>
            </w:r>
          </w:p>
        </w:tc>
        <w:tc>
          <w:tcPr>
            <w:tcW w:type="dxa" w:w="6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</w:t>
            </w:r>
            <w:r>
              <w:rPr>
                <w:rFonts w:ascii="Times New Roman" w:hAnsi="Times New Roman"/>
              </w:rPr>
              <w:t>Обеспечение комфортного проживания населения и улучшение архитектурного облика города Магнитогорска.</w:t>
            </w:r>
          </w:p>
          <w:p w14:paraId="23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</w:p>
          <w:p w14:paraId="24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xml:space="preserve">Задача 2. </w:t>
            </w:r>
            <w:r>
              <w:rPr>
                <w:rFonts w:ascii="Times New Roman" w:hAnsi="Times New Roman"/>
              </w:rPr>
              <w:t>Повышение уровня благоустройства общественных территорий.</w:t>
            </w:r>
          </w:p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уровня благоустройства общественных территорий города Магнитогорска</w:t>
            </w:r>
          </w:p>
        </w:tc>
        <w:tc>
          <w:tcPr>
            <w:tcW w:type="dxa" w:w="4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10000">
            <w:pPr>
              <w:pStyle w:val="Style_2"/>
              <w:ind w:firstLine="0" w:left="15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1)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>Доля выполненных мероприятий по строительству, реконструкции, капитальному ремонту, ремонту и содержанию автомобильных дорог общего пользования местного значения города от планируемых.</w:t>
            </w:r>
          </w:p>
          <w:p w14:paraId="27010000">
            <w:pPr>
              <w:pStyle w:val="Style_2"/>
              <w:ind w:firstLine="0" w:left="15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2)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>Доля выполненных мероприятий по строительству, реконструкции, капитальному ремонту, ремонту и содержанию автомобильных дорог общего пользования местного значения города от планируемых.</w:t>
            </w:r>
          </w:p>
        </w:tc>
      </w:tr>
      <w:tr>
        <w:tc>
          <w:tcPr>
            <w:tcW w:type="dxa" w:w="1573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2.3. Комплекс процессных мероприятий «Организация ритуальных услуг и содержание мест захоронения»</w:t>
            </w:r>
          </w:p>
        </w:tc>
      </w:tr>
      <w:tr>
        <w:tc>
          <w:tcPr>
            <w:tcW w:type="dxa" w:w="751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реализацию: 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82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xml:space="preserve">Срок реализации: 2025 – 2030 </w:t>
            </w:r>
          </w:p>
        </w:tc>
      </w:tr>
      <w:tr>
        <w:trPr>
          <w:trHeight w:hRule="atLeast" w:val="2490"/>
        </w:trP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2.3.1.</w:t>
            </w:r>
          </w:p>
        </w:tc>
        <w:tc>
          <w:tcPr>
            <w:tcW w:type="dxa" w:w="6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</w:t>
            </w:r>
            <w:r>
              <w:rPr>
                <w:rFonts w:ascii="Times New Roman" w:hAnsi="Times New Roman"/>
              </w:rPr>
              <w:t>Повышение качества содержания территорий кладбищ в городе Магнитогорске.</w:t>
            </w:r>
          </w:p>
          <w:p w14:paraId="2D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</w:p>
          <w:p w14:paraId="2E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</w:p>
          <w:p w14:paraId="2F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xml:space="preserve">Задача 2. </w:t>
            </w:r>
            <w:r>
              <w:rPr>
                <w:rFonts w:ascii="Times New Roman" w:hAnsi="Times New Roman"/>
              </w:rPr>
              <w:t>Оказание услуг по погребению и иные мероприятия в сфере похоронного дела.</w:t>
            </w:r>
          </w:p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10000">
            <w:pPr>
              <w:pStyle w:val="Style_2"/>
              <w:numPr>
                <w:ilvl w:val="0"/>
                <w:numId w:val="2"/>
              </w:num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уровня благоустройства и содержания территорий кладбищ города Магнитогорска.</w:t>
            </w:r>
          </w:p>
          <w:p w14:paraId="31010000">
            <w:pPr>
              <w:pStyle w:val="Style_2"/>
              <w:numPr>
                <w:ilvl w:val="0"/>
                <w:numId w:val="2"/>
              </w:num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гарантии погребения умерших, не имеющих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супруга, близких родственников, иных родственников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либо законного представителя.</w:t>
            </w:r>
          </w:p>
        </w:tc>
        <w:tc>
          <w:tcPr>
            <w:tcW w:type="dxa" w:w="4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themeColor="text1" w:val="000000"/>
              </w:rPr>
              <w:t>Оказание услуг по погребению согласно гарантированному перечню услуг по погребению, оказываемых на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безвозмездной основе лицам, взявшим на себя ответственность осуществить погребение умершего</w:t>
            </w:r>
          </w:p>
        </w:tc>
      </w:tr>
      <w:tr>
        <w:tc>
          <w:tcPr>
            <w:tcW w:type="dxa" w:w="1573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2.4. Комплекс процессных мероприятий «Светлый город»</w:t>
            </w:r>
          </w:p>
        </w:tc>
      </w:tr>
      <w:tr>
        <w:tc>
          <w:tcPr>
            <w:tcW w:type="dxa" w:w="751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реализацию: 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82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xml:space="preserve">Срок реализации: 2025 – 2030 </w:t>
            </w:r>
          </w:p>
        </w:tc>
      </w:tr>
      <w:t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2.4.1</w:t>
            </w:r>
          </w:p>
        </w:tc>
        <w:tc>
          <w:tcPr>
            <w:tcW w:type="dxa" w:w="6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Обеспечение комфортного проживания населения и улучшение архитектурного облика города Магнитогорска, в том числе в вечернее и ночное время суток</w:t>
            </w:r>
          </w:p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Обеспечение комфортного проживания населения и улучшение архитектурного облика города Магнитогорска, в том числе в вечернее и ночное время суток</w:t>
            </w:r>
          </w:p>
        </w:tc>
        <w:tc>
          <w:tcPr>
            <w:tcW w:type="dxa" w:w="4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color="000000"/>
              </w:rPr>
              <w:t>Процент горения светильников</w:t>
            </w:r>
          </w:p>
        </w:tc>
      </w:tr>
      <w:tr>
        <w:tc>
          <w:tcPr>
            <w:tcW w:type="dxa" w:w="1573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2.5</w:t>
            </w:r>
            <w:r>
              <w:rPr>
                <w:rFonts w:ascii="Times New Roman" w:hAnsi="Times New Roman"/>
                <w:sz w:val="24"/>
              </w:rPr>
              <w:t>. Комплекс процессных мероприятий: «Обеспечение деятельности муниципального казенного учреждения «Управление капитального строительства»</w:t>
            </w:r>
          </w:p>
        </w:tc>
      </w:tr>
      <w:tr>
        <w:tc>
          <w:tcPr>
            <w:tcW w:type="dxa" w:w="751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реализацию: 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82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Срок реализации: 2025 – 2030 </w:t>
            </w:r>
          </w:p>
        </w:tc>
      </w:tr>
      <w:t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2.5.1.</w:t>
            </w:r>
          </w:p>
        </w:tc>
        <w:tc>
          <w:tcPr>
            <w:tcW w:type="dxa" w:w="6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</w:t>
            </w:r>
            <w:r>
              <w:rPr>
                <w:rFonts w:ascii="Times New Roman" w:hAnsi="Times New Roman"/>
              </w:rPr>
              <w:t>Создание условий для обеспечения деятельности муниципального казенного учреждения «Управление капитального строительства»</w:t>
            </w:r>
          </w:p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Исполнение функций муниципального заказчика по капитальному строительству, </w:t>
            </w:r>
            <w:r>
              <w:rPr>
                <w:rFonts w:ascii="Times New Roman" w:hAnsi="Times New Roman"/>
                <w:sz w:val="24"/>
              </w:rPr>
              <w:t>реконструкции, капитальному ремонту, ремонту и содержанию объектов муниципальной собственности</w:t>
            </w:r>
          </w:p>
        </w:tc>
        <w:tc>
          <w:tcPr>
            <w:tcW w:type="dxa" w:w="4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10000">
            <w:pPr>
              <w:pStyle w:val="Style_2"/>
              <w:numPr>
                <w:ilvl w:val="0"/>
                <w:numId w:val="3"/>
              </w:numPr>
              <w:ind w:hanging="1" w:left="1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протяженности автомобильных дорог общего пользования местного значения, не </w:t>
            </w:r>
            <w:r>
              <w:rPr>
                <w:rFonts w:ascii="Times New Roman" w:hAnsi="Times New Roman"/>
                <w:sz w:val="24"/>
              </w:rPr>
              <w:t>отвечающих нормативным требованиям, в общей протяженности автомобильных дорог общего пользования местного значения.</w:t>
            </w:r>
          </w:p>
          <w:p w14:paraId="41010000">
            <w:pPr>
              <w:pStyle w:val="Style_2"/>
              <w:numPr>
                <w:ilvl w:val="0"/>
                <w:numId w:val="3"/>
              </w:numPr>
              <w:ind w:hanging="1" w:left="1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Доля выполненных мероприятий по строительству, реконструкции, капитальному ремонту, ремонту и содержанию автомобильных дорог общего пользования местного значения города от планируемых</w:t>
            </w:r>
          </w:p>
        </w:tc>
      </w:tr>
      <w:tr>
        <w:tc>
          <w:tcPr>
            <w:tcW w:type="dxa" w:w="1573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2.6. Комплекс процессных мероприятий «Обеспечение деятельности муниципального казенного учреждения «Комбинат похоронно-ритуальных услуг»</w:t>
            </w:r>
          </w:p>
        </w:tc>
      </w:tr>
      <w:tr>
        <w:trPr>
          <w:trHeight w:hRule="atLeast" w:val="478"/>
        </w:trPr>
        <w:tc>
          <w:tcPr>
            <w:tcW w:type="dxa" w:w="751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реализацию: 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82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Срок реализации: 2025 – 2030 </w:t>
            </w:r>
          </w:p>
        </w:tc>
      </w:tr>
      <w:t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2.6.1.</w:t>
            </w:r>
          </w:p>
        </w:tc>
        <w:tc>
          <w:tcPr>
            <w:tcW w:type="dxa" w:w="6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1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</w:t>
            </w:r>
            <w:r>
              <w:rPr>
                <w:rFonts w:ascii="Times New Roman" w:hAnsi="Times New Roman"/>
              </w:rPr>
              <w:t>Создание условий для обеспечения деятельности муниципального казенного учреждения «Комбинат похоронно-ритуальных услуг»</w:t>
            </w:r>
          </w:p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Содержание муниципального учреждения, обеспечивающего реализацию полномочий органов местного самоуправления в сфере похоронного дела</w:t>
            </w:r>
          </w:p>
        </w:tc>
        <w:tc>
          <w:tcPr>
            <w:tcW w:type="dxa" w:w="4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1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Оказание услуг по погребению согласно гарантированному перечню услуг по погребению, оказываемых на безвозмездной основе лицам, взявшим на себя ответственность осуществить погребение умершего</w:t>
            </w:r>
          </w:p>
        </w:tc>
      </w:tr>
      <w:tr>
        <w:trPr>
          <w:trHeight w:hRule="atLeast" w:val="439"/>
        </w:trPr>
        <w:tc>
          <w:tcPr>
            <w:tcW w:type="dxa" w:w="1573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2.7.</w:t>
            </w:r>
            <w:r>
              <w:rPr>
                <w:rFonts w:ascii="Times New Roman" w:hAnsi="Times New Roman"/>
                <w:sz w:val="24"/>
              </w:rPr>
              <w:t xml:space="preserve"> Комплекс</w:t>
            </w:r>
            <w:r>
              <w:rPr>
                <w:rFonts w:ascii="Times New Roman" w:hAnsi="Times New Roman"/>
                <w:sz w:val="24"/>
              </w:rPr>
              <w:t xml:space="preserve"> процессных мероприятий «Мероприятия по реализации инициативных проектов на территории города Магнитогорска»</w:t>
            </w:r>
          </w:p>
        </w:tc>
      </w:tr>
      <w:tr>
        <w:tc>
          <w:tcPr>
            <w:tcW w:type="dxa" w:w="751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реализацию: 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82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Срок реализации: 2025 – 2030 </w:t>
            </w:r>
          </w:p>
        </w:tc>
      </w:tr>
      <w:tr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2.7.1.</w:t>
            </w:r>
          </w:p>
        </w:tc>
        <w:tc>
          <w:tcPr>
            <w:tcW w:type="dxa" w:w="6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  <w:highlight w:val="white"/>
              </w:rPr>
              <w:t>Реализация мероприятий, имеющих приоритетное значение для жителей муниципального образования, посредством вовлечения граждан в бюджетный процесс по решению вопросов местного значения</w:t>
            </w:r>
          </w:p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Удовлетворение потребностей граждан в повышении качества жизни </w:t>
            </w:r>
            <w:r>
              <w:rPr>
                <w:rFonts w:ascii="Times New Roman" w:hAnsi="Times New Roman"/>
                <w:sz w:val="24"/>
              </w:rPr>
              <w:t>на территории города Магнитогорска</w:t>
            </w:r>
            <w:r>
              <w:rPr>
                <w:rFonts w:ascii="Times New Roman" w:hAnsi="Times New Roman"/>
                <w:sz w:val="24"/>
              </w:rPr>
              <w:t>, увеличение вовлеченности граждан в бюджетный процесс</w:t>
            </w:r>
          </w:p>
        </w:tc>
        <w:tc>
          <w:tcPr>
            <w:tcW w:type="dxa" w:w="4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10000">
            <w:pPr>
              <w:pStyle w:val="Style_2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u w:color="000000"/>
              </w:rPr>
              <w:t>Количество реализованных инициативных проектов на территории города Магнитогорска</w:t>
            </w:r>
          </w:p>
        </w:tc>
      </w:tr>
    </w:tbl>
    <w:p w14:paraId="50010000">
      <w:pPr>
        <w:pStyle w:val="Style_2"/>
        <w:ind/>
        <w:jc w:val="center"/>
        <w:outlineLvl w:val="1"/>
        <w:rPr>
          <w:rFonts w:ascii="Times New Roman" w:hAnsi="Times New Roman"/>
        </w:rPr>
      </w:pPr>
      <w:bookmarkStart w:id="6" w:name="P877"/>
      <w:bookmarkEnd w:id="6"/>
    </w:p>
    <w:p w14:paraId="5101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</w:p>
    <w:p w14:paraId="5201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муниципальной программы</w:t>
      </w:r>
    </w:p>
    <w:p w14:paraId="53010000">
      <w:pPr>
        <w:pStyle w:val="Style_2"/>
        <w:ind/>
        <w:jc w:val="center"/>
        <w:rPr>
          <w:rFonts w:ascii="Times New Roman" w:hAnsi="Times New Roman"/>
        </w:rPr>
      </w:pPr>
    </w:p>
    <w:tbl>
      <w:tblPr>
        <w:tblStyle w:val="Style_8"/>
        <w:tblpPr w:bottomFromText="0" w:horzAnchor="margin" w:leftFromText="180" w:rightFromText="180" w:tblpXSpec="center" w:tblpY="136" w:topFromText="0" w:vertAnchor="text"/>
        <w:tblW w:type="auto" w:w="0"/>
        <w:jc w:val="center"/>
        <w:tblLayout w:type="fixed"/>
      </w:tblPr>
      <w:tblGrid>
        <w:gridCol w:w="3830"/>
        <w:gridCol w:w="1418"/>
        <w:gridCol w:w="1702"/>
        <w:gridCol w:w="1702"/>
        <w:gridCol w:w="1559"/>
        <w:gridCol w:w="1561"/>
        <w:gridCol w:w="1559"/>
        <w:gridCol w:w="2115"/>
      </w:tblGrid>
      <w:tr>
        <w:tc>
          <w:tcPr>
            <w:tcW w:type="dxa" w:w="3830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616"/>
            <w:gridSpan w:val="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830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41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6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70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7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70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8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9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9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211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830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D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E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70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F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70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0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9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1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11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83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1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418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 782 790,39</w:t>
            </w:r>
          </w:p>
        </w:tc>
        <w:tc>
          <w:tcPr>
            <w:tcW w:type="dxa" w:w="1702"/>
            <w:tcBorders>
              <w:lef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7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3 615 906,07</w:t>
            </w:r>
          </w:p>
        </w:tc>
        <w:tc>
          <w:tcPr>
            <w:tcW w:type="dxa" w:w="1702"/>
            <w:tcBorders>
              <w:lef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8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3 830 200,96</w:t>
            </w:r>
          </w:p>
        </w:tc>
        <w:tc>
          <w:tcPr>
            <w:tcW w:type="dxa" w:w="1559"/>
            <w:tcBorders>
              <w:lef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9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5 318 435,32</w:t>
            </w:r>
          </w:p>
        </w:tc>
        <w:tc>
          <w:tcPr>
            <w:tcW w:type="dxa" w:w="1561"/>
            <w:tcBorders>
              <w:lef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A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5 488 625,5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559"/>
            <w:tcBorders>
              <w:lef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B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5 675 238,</w:t>
            </w: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type="dxa" w:w="2115"/>
            <w:tcBorders>
              <w:lef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C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>
              <w:rPr>
                <w:rFonts w:ascii="Times New Roman" w:hAnsi="Times New Roman"/>
              </w:rPr>
              <w:t> 711 196,71</w:t>
            </w:r>
          </w:p>
        </w:tc>
      </w:tr>
      <w:tr>
        <w:tc>
          <w:tcPr>
            <w:tcW w:type="dxa" w:w="383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1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418"/>
            <w:tcBorders>
              <w:top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E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702"/>
            <w:tcBorders>
              <w:top w:sz="4" w:val="nil"/>
              <w:lef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F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702"/>
            <w:tcBorders>
              <w:top w:sz="4" w:val="nil"/>
              <w:lef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0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  <w:tcBorders>
              <w:top w:sz="4" w:val="nil"/>
              <w:lef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61"/>
            <w:tcBorders>
              <w:top w:sz="4" w:val="nil"/>
              <w:lef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  <w:tcBorders>
              <w:top w:sz="4" w:val="nil"/>
              <w:lef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3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2115"/>
            <w:tcBorders>
              <w:top w:sz="4" w:val="nil"/>
              <w:lef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383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1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418"/>
            <w:tcBorders>
              <w:top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2 470 320,81</w:t>
            </w:r>
          </w:p>
        </w:tc>
        <w:tc>
          <w:tcPr>
            <w:tcW w:type="dxa" w:w="1702"/>
            <w:tcBorders>
              <w:top w:sz="4" w:val="nil"/>
              <w:lef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7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1 602 890,00</w:t>
            </w:r>
          </w:p>
        </w:tc>
        <w:tc>
          <w:tcPr>
            <w:tcW w:type="dxa" w:w="1702"/>
            <w:tcBorders>
              <w:top w:sz="4" w:val="nil"/>
              <w:lef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8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1 602 890,00</w:t>
            </w:r>
          </w:p>
        </w:tc>
        <w:tc>
          <w:tcPr>
            <w:tcW w:type="dxa" w:w="1559"/>
            <w:tcBorders>
              <w:top w:sz="4" w:val="nil"/>
              <w:lef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9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2 017 419,95</w:t>
            </w:r>
          </w:p>
        </w:tc>
        <w:tc>
          <w:tcPr>
            <w:tcW w:type="dxa" w:w="1561"/>
            <w:tcBorders>
              <w:top w:sz="4" w:val="nil"/>
              <w:lef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A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2 081 977,59</w:t>
            </w:r>
          </w:p>
        </w:tc>
        <w:tc>
          <w:tcPr>
            <w:tcW w:type="dxa" w:w="1559"/>
            <w:tcBorders>
              <w:top w:sz="4" w:val="nil"/>
              <w:lef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B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2 152 764,60</w:t>
            </w:r>
          </w:p>
        </w:tc>
        <w:tc>
          <w:tcPr>
            <w:tcW w:type="dxa" w:w="2115"/>
            <w:tcBorders>
              <w:top w:sz="4" w:val="nil"/>
              <w:lef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C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>
              <w:rPr>
                <w:rFonts w:ascii="Times New Roman" w:hAnsi="Times New Roman"/>
              </w:rPr>
              <w:t> 928 262,95</w:t>
            </w:r>
          </w:p>
        </w:tc>
      </w:tr>
      <w:tr>
        <w:tc>
          <w:tcPr>
            <w:tcW w:type="dxa" w:w="383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1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418"/>
            <w:tcBorders>
              <w:top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 311 410,07</w:t>
            </w:r>
          </w:p>
        </w:tc>
        <w:tc>
          <w:tcPr>
            <w:tcW w:type="dxa" w:w="1702"/>
            <w:tcBorders>
              <w:top w:sz="4" w:val="nil"/>
              <w:lef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F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2 013 016,07</w:t>
            </w:r>
          </w:p>
        </w:tc>
        <w:tc>
          <w:tcPr>
            <w:tcW w:type="dxa" w:w="1702"/>
            <w:tcBorders>
              <w:top w:sz="4" w:val="nil"/>
              <w:lef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0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2 227 310,96</w:t>
            </w:r>
          </w:p>
        </w:tc>
        <w:tc>
          <w:tcPr>
            <w:tcW w:type="dxa" w:w="1559"/>
            <w:tcBorders>
              <w:top w:sz="4" w:val="nil"/>
              <w:lef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1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3 301 015,37</w:t>
            </w:r>
          </w:p>
        </w:tc>
        <w:tc>
          <w:tcPr>
            <w:tcW w:type="dxa" w:w="1561"/>
            <w:tcBorders>
              <w:top w:sz="4" w:val="nil"/>
              <w:lef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2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3 406 647,97</w:t>
            </w:r>
          </w:p>
        </w:tc>
        <w:tc>
          <w:tcPr>
            <w:tcW w:type="dxa" w:w="1559"/>
            <w:tcBorders>
              <w:top w:sz="4" w:val="nil"/>
              <w:lef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3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3 522 473,81</w:t>
            </w:r>
          </w:p>
        </w:tc>
        <w:tc>
          <w:tcPr>
            <w:tcW w:type="dxa" w:w="2115"/>
            <w:tcBorders>
              <w:top w:sz="4" w:val="nil"/>
              <w:lef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4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>
              <w:rPr>
                <w:rFonts w:ascii="Times New Roman" w:hAnsi="Times New Roman"/>
              </w:rPr>
              <w:t> 781 874,25</w:t>
            </w:r>
          </w:p>
        </w:tc>
      </w:tr>
      <w:tr>
        <w:tc>
          <w:tcPr>
            <w:tcW w:type="dxa" w:w="383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1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418"/>
            <w:tcBorders>
              <w:top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1 059,51</w:t>
            </w:r>
          </w:p>
        </w:tc>
        <w:tc>
          <w:tcPr>
            <w:tcW w:type="dxa" w:w="1702"/>
            <w:tcBorders>
              <w:top w:sz="4" w:val="nil"/>
              <w:lef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702"/>
            <w:tcBorders>
              <w:top w:sz="4" w:val="nil"/>
              <w:lef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  <w:tcBorders>
              <w:top w:sz="4" w:val="nil"/>
              <w:lef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9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61"/>
            <w:tcBorders>
              <w:top w:sz="4" w:val="nil"/>
              <w:lef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A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  <w:tcBorders>
              <w:top w:sz="4" w:val="nil"/>
              <w:lef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2115"/>
            <w:tcBorders>
              <w:top w:sz="4" w:val="nil"/>
              <w:lef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1 059,51</w:t>
            </w:r>
          </w:p>
        </w:tc>
      </w:tr>
      <w:tr>
        <w:tc>
          <w:tcPr>
            <w:tcW w:type="dxa" w:w="383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1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налоговых расходов</w:t>
            </w:r>
          </w:p>
        </w:tc>
        <w:tc>
          <w:tcPr>
            <w:tcW w:type="dxa" w:w="141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E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70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F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70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0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61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3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2115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14:paraId="9501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  <w:bookmarkStart w:id="7" w:name="P1382"/>
      <w:bookmarkEnd w:id="7"/>
    </w:p>
    <w:sectPr>
      <w:headerReference r:id="rId1" w:type="default"/>
      <w:pgSz w:h="11906" w:orient="landscape" w:w="16838"/>
      <w:pgMar w:bottom="851" w:footer="0" w:gutter="0" w:header="0" w:left="1134" w:right="1134" w:top="1418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</w:p>
  <w:p w14:paraId="02000000">
    <w:pPr>
      <w:pStyle w:val="Style_1"/>
      <w:ind/>
      <w:jc w:val="center"/>
    </w:pPr>
  </w:p>
  <w:p w14:paraId="03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4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360"/>
      </w:pPr>
    </w:lvl>
    <w:lvl w:ilvl="1">
      <w:start w:val="1"/>
      <w:numFmt w:val="decimal"/>
      <w:lvlText w:val="%1.%2."/>
      <w:lvlJc w:val="left"/>
      <w:pPr>
        <w:tabs>
          <w:tab w:leader="none" w:pos="0" w:val="left"/>
        </w:tabs>
        <w:ind w:hanging="360" w:left="360"/>
      </w:pPr>
    </w:lvl>
    <w:lvl w:ilvl="2">
      <w:start w:val="1"/>
      <w:numFmt w:val="decimal"/>
      <w:lvlText w:val="%1.%2.%3."/>
      <w:lvlJc w:val="left"/>
      <w:pPr>
        <w:tabs>
          <w:tab w:leader="none" w:pos="0" w:val="left"/>
        </w:tabs>
        <w:ind w:hanging="720" w:left="720"/>
      </w:pPr>
    </w:lvl>
    <w:lvl w:ilvl="3">
      <w:start w:val="1"/>
      <w:numFmt w:val="decimal"/>
      <w:lvlText w:val="%1.%2.%3.%4."/>
      <w:lvlJc w:val="left"/>
      <w:pPr>
        <w:tabs>
          <w:tab w:leader="none" w:pos="0" w:val="left"/>
        </w:tabs>
        <w:ind w:hanging="720" w:left="720"/>
      </w:pPr>
    </w:lvl>
    <w:lvl w:ilvl="4">
      <w:start w:val="1"/>
      <w:numFmt w:val="decimal"/>
      <w:lvlText w:val="%1.%2.%3.%4.%5."/>
      <w:lvlJc w:val="left"/>
      <w:pPr>
        <w:tabs>
          <w:tab w:leader="none" w:pos="0" w:val="left"/>
        </w:tabs>
        <w:ind w:hanging="1080" w:left="1080"/>
      </w:pPr>
    </w:lvl>
    <w:lvl w:ilvl="5">
      <w:start w:val="1"/>
      <w:numFmt w:val="decimal"/>
      <w:lvlText w:val="%1.%2.%3.%4.%5.%6."/>
      <w:lvlJc w:val="left"/>
      <w:pPr>
        <w:tabs>
          <w:tab w:leader="none" w:pos="0" w:val="left"/>
        </w:tabs>
        <w:ind w:hanging="1080" w:left="1080"/>
      </w:pPr>
    </w:lvl>
    <w:lvl w:ilvl="6">
      <w:start w:val="1"/>
      <w:numFmt w:val="decimal"/>
      <w:lvlText w:val="%1.%2.%3.%4.%5.%6.%7."/>
      <w:lvlJc w:val="left"/>
      <w:pPr>
        <w:tabs>
          <w:tab w:leader="none" w:pos="0" w:val="left"/>
        </w:tabs>
        <w:ind w:hanging="1440" w:left="1440"/>
      </w:pPr>
    </w:lvl>
    <w:lvl w:ilvl="7">
      <w:start w:val="1"/>
      <w:numFmt w:val="decimal"/>
      <w:lvlText w:val="%1.%2.%3.%4.%5.%6.%7.%8."/>
      <w:lvlJc w:val="left"/>
      <w:pPr>
        <w:tabs>
          <w:tab w:leader="none" w:pos="0" w:val="left"/>
        </w:tabs>
        <w:ind w:hanging="1440" w:left="1440"/>
      </w:pPr>
    </w:lvl>
    <w:lvl w:ilvl="8">
      <w:start w:val="1"/>
      <w:numFmt w:val="decimal"/>
      <w:lvlText w:val="%1.%2.%3.%4.%5.%6.%7.%8.%9."/>
      <w:lvlJc w:val="left"/>
      <w:pPr>
        <w:tabs>
          <w:tab w:leader="none" w:pos="0" w:val="left"/>
        </w:tabs>
        <w:ind w:hanging="1800" w:left="1800"/>
      </w:pPr>
    </w:lvl>
  </w:abstractNum>
  <w:abstractNum w:abstractNumId="1">
    <w:lvl w:ilvl="0">
      <w:start w:val="1"/>
      <w:numFmt w:val="decimal"/>
      <w:lvlText w:val="%1)"/>
      <w:lvlJc w:val="left"/>
      <w:pPr>
        <w:tabs>
          <w:tab w:leader="none" w:pos="0" w:val="left"/>
        </w:tabs>
        <w:ind w:hanging="360" w:left="720"/>
      </w:pPr>
      <w:rPr>
        <w:sz w:val="24"/>
      </w:r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480"/>
      </w:pPr>
    </w:lvl>
  </w:abstractNum>
  <w:abstractNum w:abstractNumId="2">
    <w:lvl w:ilvl="0">
      <w:start w:val="1"/>
      <w:numFmt w:val="decimal"/>
      <w:lvlText w:val="%1)"/>
      <w:lvlJc w:val="left"/>
      <w:pPr>
        <w:tabs>
          <w:tab w:leader="none" w:pos="0" w:val="left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4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9" w:type="paragraph">
    <w:name w:val="Normal"/>
    <w:link w:val="Style_9_ch"/>
    <w:uiPriority w:val="0"/>
    <w:qFormat/>
    <w:pPr>
      <w:spacing w:after="200" w:line="276" w:lineRule="auto"/>
      <w:ind/>
    </w:pPr>
  </w:style>
  <w:style w:default="1" w:styleId="Style_9_ch" w:type="character">
    <w:name w:val="Normal"/>
    <w:link w:val="Style_9"/>
  </w:style>
  <w:style w:styleId="Style_10" w:type="paragraph">
    <w:name w:val="Колонтитул"/>
    <w:link w:val="Style_10_ch"/>
    <w:pPr>
      <w:spacing w:after="160"/>
      <w:ind/>
      <w:jc w:val="both"/>
    </w:pPr>
    <w:rPr>
      <w:rFonts w:ascii="XO Thames" w:hAnsi="XO Thames"/>
      <w:sz w:val="28"/>
    </w:rPr>
  </w:style>
  <w:style w:styleId="Style_10_ch" w:type="character">
    <w:name w:val="Колонтитул"/>
    <w:link w:val="Style_10"/>
    <w:rPr>
      <w:rFonts w:ascii="XO Thames" w:hAnsi="XO Thames"/>
      <w:sz w:val="28"/>
    </w:rPr>
  </w:style>
  <w:style w:styleId="Style_2" w:type="paragraph">
    <w:name w:val="ConsPlusNormal"/>
    <w:link w:val="Style_2_ch"/>
    <w:pPr>
      <w:widowControl w:val="0"/>
      <w:ind/>
    </w:pPr>
  </w:style>
  <w:style w:styleId="Style_2_ch" w:type="character">
    <w:name w:val="ConsPlusNormal"/>
    <w:link w:val="Style_2"/>
  </w:style>
  <w:style w:styleId="Style_11" w:type="paragraph">
    <w:name w:val="toc 2"/>
    <w:next w:val="Style_9"/>
    <w:link w:val="Style_11_ch"/>
    <w:uiPriority w:val="39"/>
    <w:pPr>
      <w:spacing w:after="160" w:line="264" w:lineRule="auto"/>
      <w:ind w:firstLine="0" w:left="200"/>
    </w:pPr>
    <w:rPr>
      <w:rFonts w:ascii="XO Thames" w:hAnsi="XO Thames"/>
      <w:sz w:val="28"/>
    </w:rPr>
  </w:style>
  <w:style w:styleId="Style_11_ch" w:type="character">
    <w:name w:val="toc 2"/>
    <w:link w:val="Style_11"/>
    <w:rPr>
      <w:rFonts w:ascii="XO Thames" w:hAnsi="XO Thames"/>
      <w:sz w:val="28"/>
    </w:rPr>
  </w:style>
  <w:style w:styleId="Style_12" w:type="paragraph">
    <w:name w:val="Balloon Text"/>
    <w:basedOn w:val="Style_9"/>
    <w:link w:val="Style_12_ch"/>
    <w:pPr>
      <w:spacing w:after="0" w:line="240" w:lineRule="auto"/>
      <w:ind/>
    </w:pPr>
    <w:rPr>
      <w:rFonts w:ascii="Segoe UI" w:hAnsi="Segoe UI"/>
      <w:sz w:val="18"/>
    </w:rPr>
  </w:style>
  <w:style w:styleId="Style_12_ch" w:type="character">
    <w:name w:val="Balloon Text"/>
    <w:basedOn w:val="Style_9_ch"/>
    <w:link w:val="Style_12"/>
    <w:rPr>
      <w:rFonts w:ascii="Segoe UI" w:hAnsi="Segoe UI"/>
      <w:sz w:val="18"/>
    </w:rPr>
  </w:style>
  <w:style w:styleId="Style_13" w:type="paragraph">
    <w:name w:val="toc 4"/>
    <w:next w:val="Style_9"/>
    <w:link w:val="Style_13_ch"/>
    <w:uiPriority w:val="39"/>
    <w:pPr>
      <w:spacing w:after="160" w:line="264" w:lineRule="auto"/>
      <w:ind w:firstLine="0" w:left="600"/>
    </w:pPr>
    <w:rPr>
      <w:rFonts w:ascii="XO Thames" w:hAnsi="XO Thames"/>
      <w:sz w:val="28"/>
    </w:rPr>
  </w:style>
  <w:style w:styleId="Style_13_ch" w:type="character">
    <w:name w:val="toc 4"/>
    <w:link w:val="Style_13"/>
    <w:rPr>
      <w:rFonts w:ascii="XO Thames" w:hAnsi="XO Thames"/>
      <w:sz w:val="28"/>
    </w:rPr>
  </w:style>
  <w:style w:styleId="Style_14" w:type="paragraph">
    <w:name w:val="ConsPlusTitle"/>
    <w:link w:val="Style_14_ch"/>
    <w:pPr>
      <w:widowControl w:val="0"/>
      <w:ind/>
    </w:pPr>
    <w:rPr>
      <w:b w:val="1"/>
    </w:rPr>
  </w:style>
  <w:style w:styleId="Style_14_ch" w:type="character">
    <w:name w:val="ConsPlusTitle"/>
    <w:link w:val="Style_14"/>
    <w:rPr>
      <w:b w:val="1"/>
    </w:rPr>
  </w:style>
  <w:style w:styleId="Style_5" w:type="paragraph">
    <w:name w:val="formattext"/>
    <w:basedOn w:val="Style_9"/>
    <w:link w:val="Style_5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5_ch" w:type="character">
    <w:name w:val="formattext"/>
    <w:basedOn w:val="Style_9_ch"/>
    <w:link w:val="Style_5"/>
    <w:rPr>
      <w:rFonts w:ascii="Times New Roman" w:hAnsi="Times New Roman"/>
      <w:sz w:val="24"/>
    </w:rPr>
  </w:style>
  <w:style w:styleId="Style_15" w:type="paragraph">
    <w:name w:val="Default Paragraph Font"/>
    <w:link w:val="Style_15_ch"/>
  </w:style>
  <w:style w:styleId="Style_15_ch" w:type="character">
    <w:name w:val="Default Paragraph Font"/>
    <w:link w:val="Style_15"/>
  </w:style>
  <w:style w:styleId="Style_1" w:type="paragraph">
    <w:name w:val="header"/>
    <w:basedOn w:val="Style_9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9_ch"/>
    <w:link w:val="Style_1"/>
  </w:style>
  <w:style w:styleId="Style_16" w:type="paragraph">
    <w:name w:val="toc 6"/>
    <w:next w:val="Style_9"/>
    <w:link w:val="Style_16_ch"/>
    <w:uiPriority w:val="39"/>
    <w:pPr>
      <w:spacing w:after="160" w:line="264" w:lineRule="auto"/>
      <w:ind w:firstLine="0" w:left="1000"/>
    </w:pPr>
    <w:rPr>
      <w:rFonts w:ascii="XO Thames" w:hAnsi="XO Thames"/>
      <w:sz w:val="28"/>
    </w:rPr>
  </w:style>
  <w:style w:styleId="Style_16_ch" w:type="character">
    <w:name w:val="toc 6"/>
    <w:link w:val="Style_16"/>
    <w:rPr>
      <w:rFonts w:ascii="XO Thames" w:hAnsi="XO Thames"/>
      <w:sz w:val="28"/>
    </w:rPr>
  </w:style>
  <w:style w:styleId="Style_17" w:type="paragraph">
    <w:name w:val="toc 7"/>
    <w:next w:val="Style_9"/>
    <w:link w:val="Style_17_ch"/>
    <w:uiPriority w:val="39"/>
    <w:pPr>
      <w:spacing w:after="160" w:line="264" w:lineRule="auto"/>
      <w:ind w:firstLine="0" w:left="1200"/>
    </w:pPr>
    <w:rPr>
      <w:rFonts w:ascii="XO Thames" w:hAnsi="XO Thames"/>
      <w:sz w:val="28"/>
    </w:rPr>
  </w:style>
  <w:style w:styleId="Style_17_ch" w:type="character">
    <w:name w:val="toc 7"/>
    <w:link w:val="Style_17"/>
    <w:rPr>
      <w:rFonts w:ascii="XO Thames" w:hAnsi="XO Thames"/>
      <w:sz w:val="28"/>
    </w:rPr>
  </w:style>
  <w:style w:styleId="Style_18" w:type="paragraph">
    <w:name w:val="Гиперссылка1"/>
    <w:basedOn w:val="Style_19"/>
    <w:link w:val="Style_18_ch"/>
    <w:rPr>
      <w:color w:val="0000FF"/>
      <w:u w:val="single"/>
    </w:rPr>
  </w:style>
  <w:style w:styleId="Style_18_ch" w:type="character">
    <w:name w:val="Гиперссылка1"/>
    <w:basedOn w:val="Style_19_ch"/>
    <w:link w:val="Style_18"/>
    <w:rPr>
      <w:color w:val="0000FF"/>
      <w:u w:val="single"/>
    </w:rPr>
  </w:style>
  <w:style w:styleId="Style_20" w:type="paragraph">
    <w:name w:val="Заголовок 21"/>
    <w:link w:val="Style_20_ch"/>
    <w:rPr>
      <w:rFonts w:ascii="XO Thames" w:hAnsi="XO Thames"/>
      <w:b w:val="1"/>
      <w:sz w:val="28"/>
    </w:rPr>
  </w:style>
  <w:style w:styleId="Style_20_ch" w:type="character">
    <w:name w:val="Заголовок 21"/>
    <w:link w:val="Style_20"/>
    <w:rPr>
      <w:rFonts w:ascii="XO Thames" w:hAnsi="XO Thames"/>
      <w:b w:val="1"/>
      <w:sz w:val="28"/>
    </w:rPr>
  </w:style>
  <w:style w:styleId="Style_21" w:type="paragraph">
    <w:name w:val="Endnote"/>
    <w:link w:val="Style_21_ch"/>
    <w:pPr>
      <w:spacing w:after="160" w:line="264" w:lineRule="auto"/>
      <w:ind w:firstLine="851" w:left="0"/>
      <w:jc w:val="both"/>
    </w:pPr>
    <w:rPr>
      <w:rFonts w:ascii="XO Thames" w:hAnsi="XO Thames"/>
    </w:rPr>
  </w:style>
  <w:style w:styleId="Style_21_ch" w:type="character">
    <w:name w:val="Endnote"/>
    <w:link w:val="Style_21"/>
    <w:rPr>
      <w:rFonts w:ascii="XO Thames" w:hAnsi="XO Thames"/>
    </w:rPr>
  </w:style>
  <w:style w:styleId="Style_22" w:type="paragraph">
    <w:name w:val="heading 3"/>
    <w:link w:val="Style_22_ch"/>
    <w:uiPriority w:val="9"/>
    <w:qFormat/>
    <w:pPr>
      <w:ind/>
      <w:outlineLvl w:val="2"/>
    </w:pPr>
    <w:rPr>
      <w:rFonts w:ascii="XO Thames" w:hAnsi="XO Thames"/>
      <w:b w:val="1"/>
      <w:sz w:val="26"/>
    </w:rPr>
  </w:style>
  <w:style w:styleId="Style_22_ch" w:type="character">
    <w:name w:val="heading 3"/>
    <w:link w:val="Style_22"/>
    <w:rPr>
      <w:rFonts w:ascii="XO Thames" w:hAnsi="XO Thames"/>
      <w:b w:val="1"/>
      <w:sz w:val="26"/>
    </w:rPr>
  </w:style>
  <w:style w:styleId="Style_23" w:type="paragraph">
    <w:name w:val="Знак примечания1"/>
    <w:basedOn w:val="Style_19"/>
    <w:link w:val="Style_23_ch"/>
    <w:rPr>
      <w:sz w:val="16"/>
    </w:rPr>
  </w:style>
  <w:style w:styleId="Style_23_ch" w:type="character">
    <w:name w:val="Знак примечания1"/>
    <w:basedOn w:val="Style_19_ch"/>
    <w:link w:val="Style_23"/>
    <w:rPr>
      <w:sz w:val="16"/>
    </w:rPr>
  </w:style>
  <w:style w:styleId="Style_24" w:type="paragraph">
    <w:name w:val="Contents 5"/>
    <w:link w:val="Style_24_ch"/>
    <w:rPr>
      <w:rFonts w:ascii="XO Thames" w:hAnsi="XO Thames"/>
      <w:sz w:val="28"/>
    </w:rPr>
  </w:style>
  <w:style w:styleId="Style_24_ch" w:type="character">
    <w:name w:val="Contents 5"/>
    <w:link w:val="Style_24"/>
    <w:rPr>
      <w:rFonts w:ascii="XO Thames" w:hAnsi="XO Thames"/>
      <w:sz w:val="28"/>
    </w:rPr>
  </w:style>
  <w:style w:styleId="Style_25" w:type="paragraph">
    <w:name w:val="Подзаголовок1"/>
    <w:link w:val="Style_25_ch"/>
    <w:rPr>
      <w:rFonts w:ascii="XO Thames" w:hAnsi="XO Thames"/>
      <w:i w:val="1"/>
      <w:color w:val="000000"/>
      <w:spacing w:val="0"/>
      <w:sz w:val="24"/>
    </w:rPr>
  </w:style>
  <w:style w:styleId="Style_25_ch" w:type="character">
    <w:name w:val="Подзаголовок1"/>
    <w:link w:val="Style_25"/>
    <w:rPr>
      <w:rFonts w:ascii="XO Thames" w:hAnsi="XO Thames"/>
      <w:i w:val="1"/>
      <w:color w:val="000000"/>
      <w:spacing w:val="0"/>
      <w:sz w:val="24"/>
    </w:rPr>
  </w:style>
  <w:style w:styleId="Style_6" w:type="paragraph">
    <w:name w:val="Normal (Web)"/>
    <w:basedOn w:val="Style_9"/>
    <w:link w:val="Style_6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6_ch" w:type="character">
    <w:name w:val="Normal (Web)"/>
    <w:basedOn w:val="Style_9_ch"/>
    <w:link w:val="Style_6"/>
    <w:rPr>
      <w:rFonts w:ascii="Times New Roman" w:hAnsi="Times New Roman"/>
      <w:sz w:val="24"/>
    </w:rPr>
  </w:style>
  <w:style w:styleId="Style_26" w:type="paragraph">
    <w:name w:val="annotation subject"/>
    <w:basedOn w:val="Style_27"/>
    <w:next w:val="Style_27"/>
    <w:link w:val="Style_26_ch"/>
    <w:rPr>
      <w:b w:val="1"/>
    </w:rPr>
  </w:style>
  <w:style w:styleId="Style_26_ch" w:type="character">
    <w:name w:val="annotation subject"/>
    <w:basedOn w:val="Style_27_ch"/>
    <w:link w:val="Style_26"/>
    <w:rPr>
      <w:b w:val="1"/>
    </w:rPr>
  </w:style>
  <w:style w:styleId="Style_28" w:type="paragraph">
    <w:name w:val="Contents 8"/>
    <w:link w:val="Style_28_ch"/>
    <w:rPr>
      <w:rFonts w:ascii="XO Thames" w:hAnsi="XO Thames"/>
      <w:sz w:val="28"/>
    </w:rPr>
  </w:style>
  <w:style w:styleId="Style_28_ch" w:type="character">
    <w:name w:val="Contents 8"/>
    <w:link w:val="Style_28"/>
    <w:rPr>
      <w:rFonts w:ascii="XO Thames" w:hAnsi="XO Thames"/>
      <w:sz w:val="28"/>
    </w:rPr>
  </w:style>
  <w:style w:styleId="Style_29" w:type="paragraph">
    <w:name w:val="Contents 1"/>
    <w:link w:val="Style_29_ch"/>
    <w:rPr>
      <w:rFonts w:ascii="XO Thames" w:hAnsi="XO Thames"/>
      <w:b w:val="1"/>
      <w:sz w:val="28"/>
    </w:rPr>
  </w:style>
  <w:style w:styleId="Style_29_ch" w:type="character">
    <w:name w:val="Contents 1"/>
    <w:link w:val="Style_29"/>
    <w:rPr>
      <w:rFonts w:ascii="XO Thames" w:hAnsi="XO Thames"/>
      <w:b w:val="1"/>
      <w:sz w:val="28"/>
    </w:rPr>
  </w:style>
  <w:style w:styleId="Style_30" w:type="paragraph">
    <w:name w:val="Contents 6"/>
    <w:link w:val="Style_30_ch"/>
    <w:rPr>
      <w:rFonts w:ascii="XO Thames" w:hAnsi="XO Thames"/>
      <w:sz w:val="28"/>
    </w:rPr>
  </w:style>
  <w:style w:styleId="Style_30_ch" w:type="character">
    <w:name w:val="Contents 6"/>
    <w:link w:val="Style_30"/>
    <w:rPr>
      <w:rFonts w:ascii="XO Thames" w:hAnsi="XO Thames"/>
      <w:sz w:val="28"/>
    </w:rPr>
  </w:style>
  <w:style w:styleId="Style_31" w:type="paragraph">
    <w:name w:val="List"/>
    <w:basedOn w:val="Style_32"/>
    <w:link w:val="Style_31_ch"/>
    <w:rPr>
      <w:rFonts w:ascii="PT Astra Serif" w:hAnsi="PT Astra Serif"/>
    </w:rPr>
  </w:style>
  <w:style w:styleId="Style_31_ch" w:type="character">
    <w:name w:val="List"/>
    <w:basedOn w:val="Style_32_ch"/>
    <w:link w:val="Style_31"/>
    <w:rPr>
      <w:rFonts w:ascii="PT Astra Serif" w:hAnsi="PT Astra Serif"/>
    </w:rPr>
  </w:style>
  <w:style w:styleId="Style_7" w:type="paragraph">
    <w:name w:val="List Paragraph"/>
    <w:basedOn w:val="Style_9"/>
    <w:link w:val="Style_7_ch"/>
    <w:pPr>
      <w:ind w:firstLine="0" w:left="720"/>
      <w:contextualSpacing w:val="1"/>
    </w:pPr>
  </w:style>
  <w:style w:styleId="Style_7_ch" w:type="character">
    <w:name w:val="List Paragraph"/>
    <w:basedOn w:val="Style_9_ch"/>
    <w:link w:val="Style_7"/>
  </w:style>
  <w:style w:styleId="Style_33" w:type="paragraph">
    <w:name w:val="toc 3"/>
    <w:next w:val="Style_9"/>
    <w:link w:val="Style_33_ch"/>
    <w:uiPriority w:val="39"/>
    <w:pPr>
      <w:spacing w:after="160" w:line="264" w:lineRule="auto"/>
      <w:ind w:firstLine="0" w:left="400"/>
    </w:pPr>
    <w:rPr>
      <w:rFonts w:ascii="XO Thames" w:hAnsi="XO Thames"/>
      <w:sz w:val="28"/>
    </w:rPr>
  </w:style>
  <w:style w:styleId="Style_33_ch" w:type="character">
    <w:name w:val="toc 3"/>
    <w:link w:val="Style_33"/>
    <w:rPr>
      <w:rFonts w:ascii="XO Thames" w:hAnsi="XO Thames"/>
      <w:sz w:val="28"/>
    </w:rPr>
  </w:style>
  <w:style w:styleId="Style_34" w:type="paragraph">
    <w:name w:val="Строгий1"/>
    <w:basedOn w:val="Style_19"/>
    <w:link w:val="Style_34_ch"/>
    <w:rPr>
      <w:b w:val="1"/>
    </w:rPr>
  </w:style>
  <w:style w:styleId="Style_34_ch" w:type="character">
    <w:name w:val="Строгий1"/>
    <w:basedOn w:val="Style_19_ch"/>
    <w:link w:val="Style_34"/>
    <w:rPr>
      <w:b w:val="1"/>
    </w:rPr>
  </w:style>
  <w:style w:styleId="Style_35" w:type="paragraph">
    <w:name w:val="Contents 3"/>
    <w:link w:val="Style_35_ch"/>
    <w:rPr>
      <w:rFonts w:ascii="XO Thames" w:hAnsi="XO Thames"/>
      <w:sz w:val="28"/>
    </w:rPr>
  </w:style>
  <w:style w:styleId="Style_35_ch" w:type="character">
    <w:name w:val="Contents 3"/>
    <w:link w:val="Style_35"/>
    <w:rPr>
      <w:rFonts w:ascii="XO Thames" w:hAnsi="XO Thames"/>
      <w:sz w:val="28"/>
    </w:rPr>
  </w:style>
  <w:style w:styleId="Style_36" w:type="paragraph">
    <w:name w:val="caption"/>
    <w:basedOn w:val="Style_9"/>
    <w:link w:val="Style_36_ch"/>
    <w:pPr>
      <w:spacing w:after="120" w:before="120"/>
      <w:ind/>
    </w:pPr>
    <w:rPr>
      <w:rFonts w:ascii="PT Astra Serif" w:hAnsi="PT Astra Serif"/>
      <w:i w:val="1"/>
      <w:sz w:val="24"/>
    </w:rPr>
  </w:style>
  <w:style w:styleId="Style_36_ch" w:type="character">
    <w:name w:val="caption"/>
    <w:basedOn w:val="Style_9_ch"/>
    <w:link w:val="Style_36"/>
    <w:rPr>
      <w:rFonts w:ascii="PT Astra Serif" w:hAnsi="PT Astra Serif"/>
      <w:i w:val="1"/>
      <w:sz w:val="24"/>
    </w:rPr>
  </w:style>
  <w:style w:styleId="Style_37" w:type="paragraph">
    <w:name w:val="heading 5"/>
    <w:next w:val="Style_9"/>
    <w:link w:val="Style_37_ch"/>
    <w:uiPriority w:val="9"/>
    <w:qFormat/>
    <w:pPr>
      <w:spacing w:after="120" w:before="120" w:line="264" w:lineRule="auto"/>
      <w:ind/>
      <w:jc w:val="both"/>
      <w:outlineLvl w:val="4"/>
    </w:pPr>
    <w:rPr>
      <w:rFonts w:ascii="XO Thames" w:hAnsi="XO Thames"/>
      <w:b w:val="1"/>
    </w:rPr>
  </w:style>
  <w:style w:styleId="Style_37_ch" w:type="character">
    <w:name w:val="heading 5"/>
    <w:link w:val="Style_37"/>
    <w:rPr>
      <w:rFonts w:ascii="XO Thames" w:hAnsi="XO Thames"/>
      <w:b w:val="1"/>
    </w:rPr>
  </w:style>
  <w:style w:styleId="Style_3" w:type="paragraph">
    <w:name w:val="heading 1"/>
    <w:link w:val="Style_3_ch"/>
    <w:uiPriority w:val="9"/>
    <w:qFormat/>
    <w:pPr>
      <w:ind/>
      <w:outlineLvl w:val="0"/>
    </w:pPr>
    <w:rPr>
      <w:rFonts w:ascii="Times New Roman CYR" w:hAnsi="Times New Roman CYR"/>
      <w:b w:val="1"/>
      <w:color w:val="26282F"/>
      <w:sz w:val="24"/>
    </w:rPr>
  </w:style>
  <w:style w:styleId="Style_3_ch" w:type="character">
    <w:name w:val="heading 1"/>
    <w:link w:val="Style_3"/>
    <w:rPr>
      <w:rFonts w:ascii="Times New Roman CYR" w:hAnsi="Times New Roman CYR"/>
      <w:b w:val="1"/>
      <w:color w:val="26282F"/>
      <w:sz w:val="24"/>
    </w:rPr>
  </w:style>
  <w:style w:styleId="Style_38" w:type="paragraph">
    <w:name w:val="Заголовок1"/>
    <w:basedOn w:val="Style_9"/>
    <w:next w:val="Style_32"/>
    <w:link w:val="Style_38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38_ch" w:type="character">
    <w:name w:val="Заголовок1"/>
    <w:basedOn w:val="Style_9_ch"/>
    <w:link w:val="Style_38"/>
    <w:rPr>
      <w:rFonts w:ascii="PT Astra Serif" w:hAnsi="PT Astra Serif"/>
      <w:sz w:val="28"/>
    </w:rPr>
  </w:style>
  <w:style w:styleId="Style_39" w:type="paragraph">
    <w:name w:val="Hyperlink"/>
    <w:link w:val="Style_39_ch"/>
    <w:rPr>
      <w:color w:val="0000FF"/>
      <w:u w:val="single"/>
    </w:rPr>
  </w:style>
  <w:style w:styleId="Style_39_ch" w:type="character">
    <w:name w:val="Hyperlink"/>
    <w:link w:val="Style_39"/>
    <w:rPr>
      <w:color w:val="0000FF"/>
      <w:u w:val="single"/>
    </w:rPr>
  </w:style>
  <w:style w:styleId="Style_40" w:type="paragraph">
    <w:name w:val="Footnote"/>
    <w:link w:val="Style_40_ch"/>
    <w:pPr>
      <w:spacing w:after="160" w:line="264" w:lineRule="auto"/>
      <w:ind w:firstLine="851" w:left="0"/>
      <w:jc w:val="both"/>
    </w:pPr>
    <w:rPr>
      <w:rFonts w:ascii="XO Thames" w:hAnsi="XO Thames"/>
    </w:rPr>
  </w:style>
  <w:style w:styleId="Style_40_ch" w:type="character">
    <w:name w:val="Footnote"/>
    <w:link w:val="Style_40"/>
    <w:rPr>
      <w:rFonts w:ascii="XO Thames" w:hAnsi="XO Thames"/>
    </w:rPr>
  </w:style>
  <w:style w:styleId="Style_41" w:type="paragraph">
    <w:name w:val="Заголовок 11"/>
    <w:basedOn w:val="Style_42"/>
    <w:link w:val="Style_41_ch"/>
    <w:rPr>
      <w:rFonts w:ascii="Times New Roman CYR" w:hAnsi="Times New Roman CYR"/>
      <w:b w:val="1"/>
      <w:color w:val="26282F"/>
      <w:spacing w:val="0"/>
      <w:sz w:val="24"/>
    </w:rPr>
  </w:style>
  <w:style w:styleId="Style_41_ch" w:type="character">
    <w:name w:val="Заголовок 11"/>
    <w:basedOn w:val="Style_42_ch"/>
    <w:link w:val="Style_41"/>
    <w:rPr>
      <w:rFonts w:ascii="Times New Roman CYR" w:hAnsi="Times New Roman CYR"/>
      <w:b w:val="1"/>
      <w:color w:val="26282F"/>
      <w:spacing w:val="0"/>
      <w:sz w:val="24"/>
    </w:rPr>
  </w:style>
  <w:style w:styleId="Style_43" w:type="paragraph">
    <w:name w:val="toc 1"/>
    <w:next w:val="Style_9"/>
    <w:link w:val="Style_43_ch"/>
    <w:uiPriority w:val="39"/>
    <w:pPr>
      <w:spacing w:after="160" w:line="264" w:lineRule="auto"/>
      <w:ind/>
    </w:pPr>
    <w:rPr>
      <w:rFonts w:ascii="XO Thames" w:hAnsi="XO Thames"/>
      <w:b w:val="1"/>
      <w:sz w:val="28"/>
    </w:rPr>
  </w:style>
  <w:style w:styleId="Style_43_ch" w:type="character">
    <w:name w:val="toc 1"/>
    <w:link w:val="Style_43"/>
    <w:rPr>
      <w:rFonts w:ascii="XO Thames" w:hAnsi="XO Thames"/>
      <w:b w:val="1"/>
      <w:sz w:val="28"/>
    </w:rPr>
  </w:style>
  <w:style w:styleId="Style_44" w:type="paragraph">
    <w:name w:val="Название1"/>
    <w:link w:val="Style_44_ch"/>
    <w:rPr>
      <w:rFonts w:ascii="XO Thames" w:hAnsi="XO Thames"/>
      <w:b w:val="1"/>
      <w:caps w:val="1"/>
      <w:color w:val="000000"/>
      <w:spacing w:val="0"/>
      <w:sz w:val="40"/>
    </w:rPr>
  </w:style>
  <w:style w:styleId="Style_44_ch" w:type="character">
    <w:name w:val="Название1"/>
    <w:link w:val="Style_44"/>
    <w:rPr>
      <w:rFonts w:ascii="XO Thames" w:hAnsi="XO Thames"/>
      <w:b w:val="1"/>
      <w:caps w:val="1"/>
      <w:color w:val="000000"/>
      <w:spacing w:val="0"/>
      <w:sz w:val="40"/>
    </w:rPr>
  </w:style>
  <w:style w:styleId="Style_45" w:type="paragraph">
    <w:name w:val="Header and Footer"/>
    <w:link w:val="Style_45_ch"/>
    <w:rPr>
      <w:rFonts w:ascii="XO Thames" w:hAnsi="XO Thames"/>
      <w:sz w:val="28"/>
    </w:rPr>
  </w:style>
  <w:style w:styleId="Style_45_ch" w:type="character">
    <w:name w:val="Header and Footer"/>
    <w:link w:val="Style_45"/>
    <w:rPr>
      <w:rFonts w:ascii="XO Thames" w:hAnsi="XO Thames"/>
      <w:sz w:val="28"/>
    </w:rPr>
  </w:style>
  <w:style w:styleId="Style_27" w:type="paragraph">
    <w:name w:val="annotation text"/>
    <w:basedOn w:val="Style_9"/>
    <w:link w:val="Style_27_ch"/>
    <w:pPr>
      <w:spacing w:line="240" w:lineRule="auto"/>
      <w:ind/>
    </w:pPr>
    <w:rPr>
      <w:sz w:val="20"/>
    </w:rPr>
  </w:style>
  <w:style w:styleId="Style_27_ch" w:type="character">
    <w:name w:val="annotation text"/>
    <w:basedOn w:val="Style_9_ch"/>
    <w:link w:val="Style_27"/>
    <w:rPr>
      <w:sz w:val="20"/>
    </w:rPr>
  </w:style>
  <w:style w:styleId="Style_46" w:type="paragraph">
    <w:name w:val="toc 9"/>
    <w:next w:val="Style_9"/>
    <w:link w:val="Style_46_ch"/>
    <w:uiPriority w:val="39"/>
    <w:pPr>
      <w:spacing w:after="160" w:line="264" w:lineRule="auto"/>
      <w:ind w:firstLine="0" w:left="1600"/>
    </w:pPr>
    <w:rPr>
      <w:rFonts w:ascii="XO Thames" w:hAnsi="XO Thames"/>
      <w:sz w:val="28"/>
    </w:rPr>
  </w:style>
  <w:style w:styleId="Style_46_ch" w:type="character">
    <w:name w:val="toc 9"/>
    <w:link w:val="Style_46"/>
    <w:rPr>
      <w:rFonts w:ascii="XO Thames" w:hAnsi="XO Thames"/>
      <w:sz w:val="28"/>
    </w:rPr>
  </w:style>
  <w:style w:styleId="Style_19" w:type="paragraph">
    <w:name w:val="Основной шрифт абзаца1"/>
    <w:link w:val="Style_19_ch"/>
    <w:pPr>
      <w:spacing w:after="160" w:line="264" w:lineRule="auto"/>
      <w:ind/>
    </w:pPr>
  </w:style>
  <w:style w:styleId="Style_19_ch" w:type="character">
    <w:name w:val="Основной шрифт абзаца1"/>
    <w:link w:val="Style_19"/>
  </w:style>
  <w:style w:styleId="Style_32" w:type="paragraph">
    <w:name w:val="Body Text"/>
    <w:basedOn w:val="Style_9"/>
    <w:link w:val="Style_32_ch"/>
    <w:pPr>
      <w:spacing w:after="140"/>
      <w:ind/>
    </w:pPr>
  </w:style>
  <w:style w:styleId="Style_32_ch" w:type="character">
    <w:name w:val="Body Text"/>
    <w:basedOn w:val="Style_9_ch"/>
    <w:link w:val="Style_32"/>
  </w:style>
  <w:style w:styleId="Style_47" w:type="paragraph">
    <w:name w:val="toc 8"/>
    <w:next w:val="Style_9"/>
    <w:link w:val="Style_47_ch"/>
    <w:uiPriority w:val="39"/>
    <w:pPr>
      <w:spacing w:after="160" w:line="264" w:lineRule="auto"/>
      <w:ind w:firstLine="0" w:left="1400"/>
    </w:pPr>
    <w:rPr>
      <w:rFonts w:ascii="XO Thames" w:hAnsi="XO Thames"/>
      <w:sz w:val="28"/>
    </w:rPr>
  </w:style>
  <w:style w:styleId="Style_47_ch" w:type="character">
    <w:name w:val="toc 8"/>
    <w:link w:val="Style_47"/>
    <w:rPr>
      <w:rFonts w:ascii="XO Thames" w:hAnsi="XO Thames"/>
      <w:sz w:val="28"/>
    </w:rPr>
  </w:style>
  <w:style w:styleId="Style_48" w:type="paragraph">
    <w:name w:val="index heading"/>
    <w:basedOn w:val="Style_9"/>
    <w:link w:val="Style_48_ch"/>
    <w:rPr>
      <w:rFonts w:ascii="PT Astra Serif" w:hAnsi="PT Astra Serif"/>
    </w:rPr>
  </w:style>
  <w:style w:styleId="Style_48_ch" w:type="character">
    <w:name w:val="index heading"/>
    <w:basedOn w:val="Style_9_ch"/>
    <w:link w:val="Style_48"/>
    <w:rPr>
      <w:rFonts w:ascii="PT Astra Serif" w:hAnsi="PT Astra Serif"/>
    </w:rPr>
  </w:style>
  <w:style w:styleId="Style_49" w:type="paragraph">
    <w:name w:val="Нижний колонтитул1"/>
    <w:basedOn w:val="Style_9"/>
    <w:next w:val="Style_50"/>
    <w:link w:val="Style_49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49_ch" w:type="character">
    <w:name w:val="Нижний колонтитул1"/>
    <w:basedOn w:val="Style_9_ch"/>
    <w:link w:val="Style_49"/>
  </w:style>
  <w:style w:styleId="Style_51" w:type="paragraph">
    <w:name w:val="toc 5"/>
    <w:next w:val="Style_9"/>
    <w:link w:val="Style_51_ch"/>
    <w:uiPriority w:val="39"/>
    <w:pPr>
      <w:spacing w:after="160" w:line="264" w:lineRule="auto"/>
      <w:ind w:firstLine="0" w:left="800"/>
    </w:pPr>
    <w:rPr>
      <w:rFonts w:ascii="XO Thames" w:hAnsi="XO Thames"/>
      <w:sz w:val="28"/>
    </w:rPr>
  </w:style>
  <w:style w:styleId="Style_51_ch" w:type="character">
    <w:name w:val="toc 5"/>
    <w:link w:val="Style_51"/>
    <w:rPr>
      <w:rFonts w:ascii="XO Thames" w:hAnsi="XO Thames"/>
      <w:sz w:val="28"/>
    </w:rPr>
  </w:style>
  <w:style w:styleId="Style_52" w:type="paragraph">
    <w:name w:val="Contents 7"/>
    <w:link w:val="Style_52_ch"/>
    <w:rPr>
      <w:rFonts w:ascii="XO Thames" w:hAnsi="XO Thames"/>
      <w:sz w:val="28"/>
    </w:rPr>
  </w:style>
  <w:style w:styleId="Style_52_ch" w:type="character">
    <w:name w:val="Contents 7"/>
    <w:link w:val="Style_52"/>
    <w:rPr>
      <w:rFonts w:ascii="XO Thames" w:hAnsi="XO Thames"/>
      <w:sz w:val="28"/>
    </w:rPr>
  </w:style>
  <w:style w:styleId="Style_53" w:type="paragraph">
    <w:name w:val="Contents 4"/>
    <w:link w:val="Style_53_ch"/>
    <w:rPr>
      <w:rFonts w:ascii="XO Thames" w:hAnsi="XO Thames"/>
      <w:sz w:val="28"/>
    </w:rPr>
  </w:style>
  <w:style w:styleId="Style_53_ch" w:type="character">
    <w:name w:val="Contents 4"/>
    <w:link w:val="Style_53"/>
    <w:rPr>
      <w:rFonts w:ascii="XO Thames" w:hAnsi="XO Thames"/>
      <w:sz w:val="28"/>
    </w:rPr>
  </w:style>
  <w:style w:styleId="Style_54" w:type="paragraph">
    <w:name w:val="Contents 2"/>
    <w:link w:val="Style_54_ch"/>
    <w:rPr>
      <w:rFonts w:ascii="XO Thames" w:hAnsi="XO Thames"/>
      <w:sz w:val="28"/>
    </w:rPr>
  </w:style>
  <w:style w:styleId="Style_54_ch" w:type="character">
    <w:name w:val="Contents 2"/>
    <w:link w:val="Style_54"/>
    <w:rPr>
      <w:rFonts w:ascii="XO Thames" w:hAnsi="XO Thames"/>
      <w:sz w:val="28"/>
    </w:rPr>
  </w:style>
  <w:style w:styleId="Style_55" w:type="paragraph">
    <w:name w:val="Заголовок 31"/>
    <w:link w:val="Style_55_ch"/>
    <w:rPr>
      <w:rFonts w:ascii="XO Thames" w:hAnsi="XO Thames"/>
      <w:b w:val="1"/>
      <w:color w:val="000000"/>
      <w:spacing w:val="0"/>
      <w:sz w:val="26"/>
    </w:rPr>
  </w:style>
  <w:style w:styleId="Style_55_ch" w:type="character">
    <w:name w:val="Заголовок 31"/>
    <w:link w:val="Style_55"/>
    <w:rPr>
      <w:rFonts w:ascii="XO Thames" w:hAnsi="XO Thames"/>
      <w:b w:val="1"/>
      <w:color w:val="000000"/>
      <w:spacing w:val="0"/>
      <w:sz w:val="26"/>
    </w:rPr>
  </w:style>
  <w:style w:styleId="Style_56" w:type="paragraph">
    <w:name w:val="Subtitle"/>
    <w:link w:val="Style_56_ch"/>
    <w:uiPriority w:val="11"/>
    <w:qFormat/>
    <w:rPr>
      <w:rFonts w:ascii="XO Thames" w:hAnsi="XO Thames"/>
      <w:i w:val="1"/>
      <w:sz w:val="24"/>
    </w:rPr>
  </w:style>
  <w:style w:styleId="Style_56_ch" w:type="character">
    <w:name w:val="Subtitle"/>
    <w:link w:val="Style_56"/>
    <w:rPr>
      <w:rFonts w:ascii="XO Thames" w:hAnsi="XO Thames"/>
      <w:i w:val="1"/>
      <w:sz w:val="24"/>
    </w:rPr>
  </w:style>
  <w:style w:styleId="Style_57" w:type="paragraph">
    <w:name w:val="Заголовок 41"/>
    <w:link w:val="Style_57_ch"/>
    <w:rPr>
      <w:rFonts w:ascii="XO Thames" w:hAnsi="XO Thames"/>
      <w:b w:val="1"/>
      <w:sz w:val="24"/>
    </w:rPr>
  </w:style>
  <w:style w:styleId="Style_57_ch" w:type="character">
    <w:name w:val="Заголовок 41"/>
    <w:link w:val="Style_57"/>
    <w:rPr>
      <w:rFonts w:ascii="XO Thames" w:hAnsi="XO Thames"/>
      <w:b w:val="1"/>
      <w:sz w:val="24"/>
    </w:rPr>
  </w:style>
  <w:style w:styleId="Style_42" w:type="paragraph">
    <w:name w:val="Обычный1"/>
    <w:link w:val="Style_42_ch"/>
    <w:rPr>
      <w:rFonts w:asciiTheme="minorAscii" w:hAnsiTheme="minorHAnsi"/>
      <w:color w:val="000000"/>
      <w:spacing w:val="0"/>
      <w:sz w:val="22"/>
    </w:rPr>
  </w:style>
  <w:style w:styleId="Style_42_ch" w:type="character">
    <w:name w:val="Обычный1"/>
    <w:link w:val="Style_42"/>
    <w:rPr>
      <w:rFonts w:asciiTheme="minorAscii" w:hAnsiTheme="minorHAnsi"/>
      <w:color w:val="000000"/>
      <w:spacing w:val="0"/>
      <w:sz w:val="22"/>
    </w:rPr>
  </w:style>
  <w:style w:styleId="Style_50" w:type="paragraph">
    <w:name w:val="footer"/>
    <w:basedOn w:val="Style_9"/>
    <w:link w:val="Style_50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50_ch" w:type="character">
    <w:name w:val="footer"/>
    <w:basedOn w:val="Style_9_ch"/>
    <w:link w:val="Style_50"/>
  </w:style>
  <w:style w:styleId="Style_58" w:type="paragraph">
    <w:name w:val="Contents 9"/>
    <w:link w:val="Style_58_ch"/>
    <w:rPr>
      <w:rFonts w:ascii="XO Thames" w:hAnsi="XO Thames"/>
      <w:sz w:val="28"/>
    </w:rPr>
  </w:style>
  <w:style w:styleId="Style_58_ch" w:type="character">
    <w:name w:val="Contents 9"/>
    <w:link w:val="Style_58"/>
    <w:rPr>
      <w:rFonts w:ascii="XO Thames" w:hAnsi="XO Thames"/>
      <w:sz w:val="28"/>
    </w:rPr>
  </w:style>
  <w:style w:styleId="Style_59" w:type="paragraph">
    <w:name w:val="Title"/>
    <w:link w:val="Style_59_ch"/>
    <w:uiPriority w:val="10"/>
    <w:qFormat/>
    <w:rPr>
      <w:rFonts w:ascii="XO Thames" w:hAnsi="XO Thames"/>
      <w:b w:val="1"/>
      <w:caps w:val="1"/>
      <w:sz w:val="40"/>
    </w:rPr>
  </w:style>
  <w:style w:styleId="Style_59_ch" w:type="character">
    <w:name w:val="Title"/>
    <w:link w:val="Style_59"/>
    <w:rPr>
      <w:rFonts w:ascii="XO Thames" w:hAnsi="XO Thames"/>
      <w:b w:val="1"/>
      <w:caps w:val="1"/>
      <w:sz w:val="40"/>
    </w:rPr>
  </w:style>
  <w:style w:styleId="Style_60" w:type="paragraph">
    <w:name w:val="heading 4"/>
    <w:next w:val="Style_9"/>
    <w:link w:val="Style_60_ch"/>
    <w:uiPriority w:val="9"/>
    <w:qFormat/>
    <w:pPr>
      <w:spacing w:after="120" w:before="120" w:line="264" w:lineRule="auto"/>
      <w:ind/>
      <w:jc w:val="both"/>
      <w:outlineLvl w:val="3"/>
    </w:pPr>
    <w:rPr>
      <w:rFonts w:ascii="XO Thames" w:hAnsi="XO Thames"/>
      <w:b w:val="1"/>
      <w:sz w:val="24"/>
    </w:rPr>
  </w:style>
  <w:style w:styleId="Style_60_ch" w:type="character">
    <w:name w:val="heading 4"/>
    <w:link w:val="Style_60"/>
    <w:rPr>
      <w:rFonts w:ascii="XO Thames" w:hAnsi="XO Thames"/>
      <w:b w:val="1"/>
      <w:sz w:val="24"/>
    </w:rPr>
  </w:style>
  <w:style w:styleId="Style_61" w:type="paragraph">
    <w:name w:val="Нижний колонтитул2"/>
    <w:link w:val="Style_61_ch"/>
  </w:style>
  <w:style w:styleId="Style_61_ch" w:type="character">
    <w:name w:val="Нижний колонтитул2"/>
    <w:link w:val="Style_61"/>
  </w:style>
  <w:style w:styleId="Style_62" w:type="paragraph">
    <w:name w:val="Заголовок 51"/>
    <w:link w:val="Style_62_ch"/>
    <w:rPr>
      <w:rFonts w:ascii="XO Thames" w:hAnsi="XO Thames"/>
      <w:b w:val="1"/>
      <w:sz w:val="22"/>
    </w:rPr>
  </w:style>
  <w:style w:styleId="Style_62_ch" w:type="character">
    <w:name w:val="Заголовок 51"/>
    <w:link w:val="Style_62"/>
    <w:rPr>
      <w:rFonts w:ascii="XO Thames" w:hAnsi="XO Thames"/>
      <w:b w:val="1"/>
      <w:sz w:val="22"/>
    </w:rPr>
  </w:style>
  <w:style w:styleId="Style_63" w:type="paragraph">
    <w:name w:val="heading 2"/>
    <w:next w:val="Style_9"/>
    <w:link w:val="Style_63_ch"/>
    <w:uiPriority w:val="9"/>
    <w:qFormat/>
    <w:pPr>
      <w:spacing w:after="120" w:before="120" w:line="264" w:lineRule="auto"/>
      <w:ind/>
      <w:jc w:val="both"/>
      <w:outlineLvl w:val="1"/>
    </w:pPr>
    <w:rPr>
      <w:rFonts w:ascii="XO Thames" w:hAnsi="XO Thames"/>
      <w:b w:val="1"/>
      <w:sz w:val="28"/>
    </w:rPr>
  </w:style>
  <w:style w:styleId="Style_63_ch" w:type="character">
    <w:name w:val="heading 2"/>
    <w:link w:val="Style_63"/>
    <w:rPr>
      <w:rFonts w:ascii="XO Thames" w:hAnsi="XO Thames"/>
      <w:b w:val="1"/>
      <w:sz w:val="28"/>
    </w:rPr>
  </w:style>
  <w:style w:styleId="Style_64" w:type="paragraph">
    <w:name w:val="Internet link"/>
    <w:basedOn w:val="Style_19"/>
    <w:link w:val="Style_64_ch"/>
    <w:rPr>
      <w:color w:val="0000FF"/>
      <w:u w:val="single"/>
    </w:rPr>
  </w:style>
  <w:style w:styleId="Style_64_ch" w:type="character">
    <w:name w:val="Internet link"/>
    <w:basedOn w:val="Style_19_ch"/>
    <w:link w:val="Style_64"/>
    <w:rPr>
      <w:color w:val="0000FF"/>
      <w:u w:val="single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8" w:type="table">
    <w:name w:val="Table Grid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2025-06-09T08:51:47Z</dcterms:modified>
</cp:coreProperties>
</file>