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4472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3543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25.10.2024 №11291-П</w:t>
      </w:r>
    </w:p>
    <w:p w14:paraId="0B000000">
      <w:pPr>
        <w:spacing w:after="0" w:line="240" w:lineRule="auto"/>
        <w:ind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8465-П, Перечнем муниципальных программ города Магнитогорска на 2025 – 2030 годы,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10283-П, распоряжением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04.10.2024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542-Р «О назначении кураторов муниципальных программ города Магнитогорска», руководствуясь Уставом города Магнитогорска, 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25.10.2024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11291-П «Об утверждении муниципальной программы «Развитие дорожного хозяйства и благоустройства города Магнитогорска»</w:t>
      </w:r>
      <w:r>
        <w:br/>
      </w:r>
      <w:r>
        <w:rPr>
          <w:rFonts w:ascii="Times New Roman" w:hAnsi="Times New Roman"/>
          <w:sz w:val="28"/>
        </w:rPr>
        <w:t>на 2025-2030 годы» (далее – постановление) изменения, 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4 к муниципальной программе «Развитие дорожного хозяйства</w:t>
      </w:r>
      <w:r>
        <w:br/>
      </w:r>
      <w:r>
        <w:rPr>
          <w:rFonts w:ascii="Times New Roman" w:hAnsi="Times New Roman"/>
          <w:sz w:val="28"/>
        </w:rPr>
        <w:t>и благоустройства города Магнитогорска»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 3 соответственно).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highlight w:val="white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8"/>
        </w:rPr>
        <w:t>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</w:t>
      </w:r>
      <w:bookmarkStart w:id="1" w:name="_GoBack"/>
      <w:bookmarkEnd w:id="1"/>
      <w:r>
        <w:rPr>
          <w:rFonts w:ascii="Times New Roman" w:hAnsi="Times New Roman"/>
          <w:sz w:val="28"/>
        </w:rPr>
        <w:t>авы города Магнитогорска Хваткова А.В.</w:t>
      </w:r>
    </w:p>
    <w:p w14:paraId="13000000">
      <w:pPr>
        <w:spacing w:after="0" w:line="228" w:lineRule="auto"/>
        <w:ind/>
        <w:rPr>
          <w:rFonts w:ascii="Times New Roman" w:hAnsi="Times New Roman"/>
          <w:sz w:val="28"/>
        </w:rPr>
      </w:pPr>
    </w:p>
    <w:p w14:paraId="14000000">
      <w:pPr>
        <w:spacing w:after="0" w:line="228" w:lineRule="auto"/>
        <w:ind/>
        <w:rPr>
          <w:rFonts w:ascii="Times New Roman" w:hAnsi="Times New Roman"/>
          <w:sz w:val="28"/>
        </w:rPr>
      </w:pPr>
    </w:p>
    <w:p w14:paraId="15000000">
      <w:pPr>
        <w:spacing w:after="0"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</w:t>
      </w:r>
      <w:r>
        <w:rPr>
          <w:rFonts w:ascii="Times New Roman" w:hAnsi="Times New Roman"/>
          <w:sz w:val="28"/>
        </w:rPr>
        <w:t>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С.Н. Бердников</w:t>
      </w:r>
    </w:p>
    <w:p w14:paraId="16000000">
      <w:pPr>
        <w:spacing w:after="0" w:line="228" w:lineRule="auto"/>
        <w:ind/>
        <w:jc w:val="both"/>
        <w:rPr>
          <w:rFonts w:ascii="Times New Roman" w:hAnsi="Times New Roman"/>
          <w:sz w:val="20"/>
        </w:rPr>
      </w:pPr>
    </w:p>
    <w:p w14:paraId="17000000">
      <w:pPr>
        <w:spacing w:after="0" w:line="228" w:lineRule="auto"/>
        <w:ind/>
        <w:jc w:val="both"/>
        <w:rPr>
          <w:rFonts w:ascii="Times New Roman" w:hAnsi="Times New Roman"/>
          <w:sz w:val="20"/>
        </w:rPr>
      </w:pPr>
    </w:p>
    <w:p w14:paraId="18000000">
      <w:pPr>
        <w:spacing w:after="0" w:line="228" w:lineRule="auto"/>
        <w:ind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38" w:orient="portrait" w:w="11906"/>
      <w:pgMar w:bottom="851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Вр-2126406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2025-06-09T08:50:59Z</dcterms:modified>
</cp:coreProperties>
</file>