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Приложение № 1</w:t>
      </w:r>
    </w:p>
    <w:p w14:paraId="02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 24.04.2025 № 3749-П</w:t>
      </w:r>
    </w:p>
    <w:p w14:paraId="05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</w:p>
    <w:p w14:paraId="06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№ </w:t>
      </w:r>
      <w:r>
        <w:rPr>
          <w:rFonts w:ascii="Times New Roman" w:hAnsi="Times New Roman"/>
          <w:sz w:val="24"/>
        </w:rPr>
        <w:t>1</w:t>
      </w:r>
    </w:p>
    <w:p w14:paraId="07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8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</w:t>
      </w:r>
    </w:p>
    <w:p w14:paraId="09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A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B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C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0D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 на 2025-2030 годы</w:t>
      </w:r>
    </w:p>
    <w:p w14:paraId="0E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F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0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8238"/>
      </w:tblGrid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  <w:r>
              <w:rPr>
                <w:rFonts w:ascii="Times New Roman" w:hAnsi="Times New Roman"/>
                <w:sz w:val="24"/>
              </w:rPr>
              <w:t xml:space="preserve"> годы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 1. Создание условий для эффективного развития </w:t>
            </w:r>
            <w:r>
              <w:rPr>
                <w:rFonts w:ascii="Times New Roman" w:hAnsi="Times New Roman"/>
                <w:sz w:val="24"/>
              </w:rPr>
              <w:t>образования, направленного на обеспечение доступности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качественного образования, соответствующего требованиям современного инновационного социально ориентированного развития города Магнитогорска;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</w:t>
            </w:r>
            <w:r>
              <w:rPr>
                <w:rFonts w:ascii="Times New Roman" w:hAnsi="Times New Roman"/>
                <w:sz w:val="24"/>
              </w:rPr>
              <w:t xml:space="preserve">качественного образования всех видов и уровней;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 создание условий для эффективного развития системы профилактики безнадзорности и правонарушений </w:t>
            </w:r>
            <w:r>
              <w:rPr>
                <w:rFonts w:ascii="Times New Roman" w:hAnsi="Times New Roman"/>
                <w:sz w:val="24"/>
              </w:rPr>
              <w:t>несовершеннолетних; реализация на территории Челябинской области государственной политики в сфере культуры, искусства, а также в области образования в сфере культуры и искусства</w:t>
            </w:r>
          </w:p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Модернизация и качественное улучшение условий, содержания и форм организации дошкольного образования в рамках реализации </w:t>
            </w:r>
            <w:r>
              <w:rPr>
                <w:rFonts w:ascii="Times New Roman" w:hAnsi="Times New Roman"/>
                <w:sz w:val="24"/>
              </w:rPr>
              <w:t>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2. </w:t>
            </w:r>
          </w:p>
          <w:p w14:paraId="1F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color w:val="000000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color w:val="000000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</w:t>
            </w:r>
            <w:r>
              <w:rPr>
                <w:rFonts w:ascii="Times New Roman" w:hAnsi="Times New Roman"/>
                <w:sz w:val="24"/>
              </w:rPr>
              <w:t>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 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 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</w:t>
            </w:r>
            <w:r>
              <w:rPr>
                <w:rFonts w:ascii="Times New Roman" w:hAnsi="Times New Roman"/>
                <w:sz w:val="24"/>
              </w:rPr>
              <w:t xml:space="preserve"> «Дошкольное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Направление 2 </w:t>
            </w:r>
            <w:r>
              <w:rPr>
                <w:rFonts w:ascii="Times New Roman" w:hAnsi="Times New Roman"/>
                <w:sz w:val="24"/>
              </w:rPr>
              <w:t>«Общее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  <w:r>
              <w:rPr>
                <w:rFonts w:ascii="Times New Roman" w:hAnsi="Times New Roman"/>
                <w:sz w:val="24"/>
              </w:rPr>
              <w:t> 232 570,09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732-П.</w:t>
            </w:r>
          </w:p>
          <w:p w14:paraId="3B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области», утвержденная постановлением Правительства Челябинской области от 30.12.2020 г. № 780-П</w:t>
            </w:r>
          </w:p>
        </w:tc>
      </w:tr>
    </w:tbl>
    <w:p w14:paraId="3C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3D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3E000000">
      <w:pPr>
        <w:pStyle w:val="Style_1"/>
        <w:ind/>
        <w:jc w:val="center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3"/>
        <w:gridCol w:w="3221"/>
        <w:gridCol w:w="1259"/>
        <w:gridCol w:w="2240"/>
        <w:gridCol w:w="909"/>
        <w:gridCol w:w="850"/>
        <w:gridCol w:w="851"/>
        <w:gridCol w:w="850"/>
        <w:gridCol w:w="851"/>
        <w:gridCol w:w="780"/>
        <w:gridCol w:w="2372"/>
      </w:tblGrid>
      <w:tr>
        <w:tc>
          <w:tcPr>
            <w:tcW w:type="dxa" w:w="7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32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Цель муниципальной программы «Создание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города Магнитогорска; 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качественного образования всех видов и уровней;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 создание условий для эффективного развития системы профилактики безнадзорности и правонарушений несовершеннолетних; реализация на территории Челябинской области государственной политики в сфере культуры, искусства, а также в области образования в сфере культуры и искусства»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89,4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89,5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56,18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84000000">
      <w:pPr>
        <w:pStyle w:val="Style_1"/>
        <w:ind/>
        <w:jc w:val="center"/>
        <w:rPr>
          <w:rFonts w:ascii="Times New Roman" w:hAnsi="Times New Roman"/>
          <w:sz w:val="24"/>
        </w:rPr>
      </w:pPr>
      <w:bookmarkStart w:id="1" w:name="P688"/>
      <w:bookmarkEnd w:id="1"/>
    </w:p>
    <w:p w14:paraId="85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муниципальной программы в </w:t>
      </w:r>
      <w:r>
        <w:rPr>
          <w:rFonts w:ascii="Times New Roman" w:hAnsi="Times New Roman"/>
          <w:sz w:val="24"/>
        </w:rPr>
        <w:t>2025</w:t>
      </w:r>
      <w:r>
        <w:rPr>
          <w:rFonts w:ascii="Times New Roman" w:hAnsi="Times New Roman"/>
          <w:sz w:val="24"/>
        </w:rPr>
        <w:t xml:space="preserve"> году</w:t>
      </w:r>
    </w:p>
    <w:p w14:paraId="86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  <w:r>
              <w:rPr>
                <w:rFonts w:ascii="Times New Roman" w:hAnsi="Times New Roman"/>
                <w:sz w:val="24"/>
              </w:rPr>
              <w:t xml:space="preserve">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  <w:bookmarkStart w:id="2" w:name="_GoBack"/>
            <w:bookmarkEnd w:id="2"/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E5000000">
      <w:pPr>
        <w:pStyle w:val="Style_1"/>
        <w:ind/>
        <w:jc w:val="both"/>
        <w:rPr>
          <w:rFonts w:ascii="Times New Roman" w:hAnsi="Times New Roman"/>
          <w:sz w:val="24"/>
        </w:rPr>
      </w:pPr>
      <w:bookmarkStart w:id="3" w:name="P804"/>
      <w:bookmarkEnd w:id="3"/>
    </w:p>
    <w:p w14:paraId="E6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E7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0"/>
        <w:gridCol w:w="5802"/>
        <w:gridCol w:w="5288"/>
        <w:gridCol w:w="3187"/>
      </w:tblGrid>
      <w:tr>
        <w:trPr>
          <w:tblHeader/>
        </w:trP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  <w:r>
              <w:rPr>
                <w:rFonts w:ascii="Times New Roman" w:hAnsi="Times New Roman"/>
                <w:sz w:val="24"/>
              </w:rPr>
              <w:t xml:space="preserve"> муниципальной программы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«Дошкольное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Региональный проект «Поддержка семьи»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(2026 год)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«Организация и предоставление дошкольного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«Поддержка и развитие дошкольных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«Общее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Региональный проект «</w:t>
            </w:r>
            <w:r>
              <w:rPr>
                <w:rFonts w:ascii="Times New Roman" w:hAnsi="Times New Roman"/>
                <w:sz w:val="24"/>
              </w:rPr>
              <w:t>Все лучшее детям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</w:t>
            </w:r>
            <w:r>
              <w:rPr>
                <w:rFonts w:ascii="Times New Roman" w:hAnsi="Times New Roman"/>
                <w:sz w:val="24"/>
              </w:rPr>
              <w:t>27</w:t>
            </w:r>
            <w:r>
              <w:rPr>
                <w:rFonts w:ascii="Times New Roman" w:hAnsi="Times New Roman"/>
                <w:sz w:val="24"/>
              </w:rPr>
              <w:t xml:space="preserve">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Обновление образовательной инфраструктуры, позволяющей детям и молодёжи развивать свои способности и таланты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средств обучения и воспитания для кабинетов труда и ОБЗР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 Региональный проект «</w:t>
            </w:r>
            <w:r>
              <w:rPr>
                <w:rFonts w:ascii="Times New Roman" w:hAnsi="Times New Roman"/>
                <w:sz w:val="24"/>
              </w:rPr>
              <w:t>Педагоги и наставники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организаций. Обеспечение привлечения квалифицированных кадров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 Комплекс процессных мероприятий «Организация и предоставление общего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 Комплекс процессных мероприятий «</w:t>
            </w:r>
            <w:r>
              <w:rPr>
                <w:rFonts w:ascii="Times New Roman" w:hAnsi="Times New Roman"/>
                <w:sz w:val="24"/>
              </w:rPr>
              <w:t>Поддержка и развитие общеобразовательных учреждений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«Организация и предоставление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«Организация и предоставление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Созданы условия для получения доступного и качественного дополнительного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«Поддержка и развитие учреждений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«Поддержка и развитие учреждений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Поддержка и развитие учреждений дополнительного образования в сфере культуры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творческой активности детей, оказание поддержки обучающимся и их педагогам-наставникам за высокие достижения в области культуры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 Региональный проект «</w:t>
            </w:r>
            <w:r>
              <w:rPr>
                <w:rFonts w:ascii="Times New Roman" w:hAnsi="Times New Roman"/>
                <w:sz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(наименование): </w:t>
            </w: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</w:t>
            </w:r>
            <w:r>
              <w:rPr>
                <w:rFonts w:ascii="Times New Roman" w:hAnsi="Times New Roman"/>
                <w:sz w:val="24"/>
              </w:rPr>
              <w:t>-2026</w:t>
            </w:r>
            <w:r>
              <w:rPr>
                <w:rFonts w:ascii="Times New Roman" w:hAnsi="Times New Roman"/>
                <w:sz w:val="24"/>
              </w:rPr>
              <w:t xml:space="preserve"> год</w:t>
            </w:r>
            <w:r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«Отдых и оздоровление детей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оздоровительно-образовательном центре</w:t>
            </w:r>
            <w:r>
              <w:rPr>
                <w:rFonts w:ascii="Times New Roman" w:hAnsi="Times New Roman"/>
                <w:sz w:val="24"/>
              </w:rPr>
              <w:t>, загородных лагерях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для отдыха и оздоровления детей в каникулярное время в лагерях дневного пребывания, </w:t>
            </w:r>
            <w:r>
              <w:rPr>
                <w:rFonts w:ascii="Times New Roman" w:hAnsi="Times New Roman"/>
                <w:sz w:val="24"/>
              </w:rPr>
              <w:t>туристских походах, оздоровительно-образовательном центре, загородных лагерях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 Региональный проект «Мы вместе (Воспитание гармонично развитой личности)»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type="dxa" w:w="5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Социальное, культурное, духовное и физическое развитие молодежи, проживающей на территории города Магнитогорска</w:t>
            </w:r>
          </w:p>
        </w:tc>
        <w:tc>
          <w:tcPr>
            <w:tcW w:type="dxa" w:w="52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Создать условия для реального участия молодежи города Магнитогорска в мероприятиях, направленных на социальное, культурное, духовное и физическое развитие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</w:tr>
      <w:tr>
        <w:tc>
          <w:tcPr>
            <w:tcW w:type="dxa" w:w="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2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Комплекс процессных мероприятий «Молодежь Магнитки»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Создать условия для привлечения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</w:t>
            </w:r>
            <w:r>
              <w:rPr>
                <w:rFonts w:ascii="Times New Roman" w:hAnsi="Times New Roman"/>
                <w:sz w:val="24"/>
              </w:rPr>
              <w:t>тельскую деятельность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 Комплекс процессных мероприятий «Сопровождение деятельности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 Комплекс процессных мероприятий «Развитие образовательной среды»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 «</w:t>
            </w:r>
            <w:r>
              <w:rPr>
                <w:rFonts w:ascii="Times New Roman" w:hAnsi="Times New Roman"/>
                <w:sz w:val="24"/>
              </w:rPr>
              <w:t>Обеспечение функционирования Управления образования администрации города Магнитогорска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</w:t>
            </w: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</w:tbl>
    <w:p w14:paraId="750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76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bookmarkStart w:id="4" w:name="P877"/>
      <w:bookmarkEnd w:id="4"/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77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481"/>
        <w:gridCol w:w="1596"/>
        <w:gridCol w:w="1596"/>
        <w:gridCol w:w="1596"/>
        <w:gridCol w:w="1535"/>
        <w:gridCol w:w="1547"/>
        <w:gridCol w:w="1535"/>
        <w:gridCol w:w="2196"/>
      </w:tblGrid>
      <w:tr>
        <w:tc>
          <w:tcPr>
            <w:tcW w:type="dxa" w:w="34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6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в т.ч.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 300 478.34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10 154 180.</w:t>
            </w: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10 058 801.</w:t>
            </w: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9 277 582.12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9 564 845.48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9 879 840.45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>
              <w:rPr>
                <w:rFonts w:ascii="Times New Roman" w:hAnsi="Times New Roman"/>
                <w:color w:val="000000"/>
                <w:sz w:val="24"/>
              </w:rPr>
              <w:t> 235 728.71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468 611.</w:t>
            </w: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441 619.</w:t>
            </w: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404 825.</w:t>
            </w: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1 315 055.</w:t>
            </w: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418 056.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6 440 165.91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6 381 344.81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6 362 270.53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6 362 270.53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6 362 270.53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38 326</w:t>
            </w:r>
            <w:r>
              <w:rPr>
                <w:rFonts w:ascii="Times New Roman" w:hAnsi="Times New Roman"/>
                <w:color w:val="000000"/>
                <w:sz w:val="24"/>
              </w:rPr>
              <w:t> 378.</w:t>
            </w: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41</w:t>
            </w:r>
            <w:r>
              <w:rPr>
                <w:rFonts w:ascii="Times New Roman" w:hAnsi="Times New Roman"/>
              </w:rPr>
              <w:t>3 810.90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272 395.43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3 272 631.71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2 915 311.58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3 202 574.95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3 517 569.92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 594 294.49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0.00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B9010000">
      <w:pPr>
        <w:spacing w:after="0" w:line="240" w:lineRule="auto"/>
        <w:ind/>
        <w:rPr>
          <w:sz w:val="24"/>
        </w:rPr>
      </w:pPr>
    </w:p>
    <w:sectPr>
      <w:pgSz w:h="11908" w:orient="landscape" w:w="16848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annotation text"/>
    <w:basedOn w:val="Style_4"/>
    <w:link w:val="Style_12_ch"/>
    <w:pPr>
      <w:spacing w:line="240" w:lineRule="auto"/>
      <w:ind/>
    </w:pPr>
    <w:rPr>
      <w:sz w:val="20"/>
    </w:rPr>
  </w:style>
  <w:style w:styleId="Style_12_ch" w:type="character">
    <w:name w:val="annotation text"/>
    <w:basedOn w:val="Style_4_ch"/>
    <w:link w:val="Style_12"/>
    <w:rPr>
      <w:sz w:val="20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footer"/>
    <w:basedOn w:val="Style_4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footer"/>
    <w:basedOn w:val="Style_4_ch"/>
    <w:link w:val="Style_16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annotation reference"/>
    <w:basedOn w:val="Style_11"/>
    <w:link w:val="Style_22_ch"/>
    <w:rPr>
      <w:sz w:val="16"/>
    </w:rPr>
  </w:style>
  <w:style w:styleId="Style_22_ch" w:type="character">
    <w:name w:val="annotation reference"/>
    <w:basedOn w:val="Style_11_ch"/>
    <w:link w:val="Style_22"/>
    <w:rPr>
      <w:sz w:val="16"/>
    </w:rPr>
  </w:style>
  <w:style w:styleId="Style_23" w:type="paragraph">
    <w:name w:val="annotation subject"/>
    <w:basedOn w:val="Style_12"/>
    <w:next w:val="Style_12"/>
    <w:link w:val="Style_23_ch"/>
    <w:rPr>
      <w:b w:val="1"/>
    </w:rPr>
  </w:style>
  <w:style w:styleId="Style_23_ch" w:type="character">
    <w:name w:val="annotation subject"/>
    <w:basedOn w:val="Style_12_ch"/>
    <w:link w:val="Style_23"/>
    <w:rPr>
      <w:b w:val="1"/>
    </w:rPr>
  </w:style>
  <w:style w:styleId="Style_24" w:type="paragraph">
    <w:name w:val="header"/>
    <w:basedOn w:val="Style_4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4_ch" w:type="character">
    <w:name w:val="header"/>
    <w:basedOn w:val="Style_4_ch"/>
    <w:link w:val="Style_24"/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Balloon Text"/>
    <w:basedOn w:val="Style_4"/>
    <w:link w:val="Style_26_ch"/>
    <w:pPr>
      <w:spacing w:after="0" w:line="240" w:lineRule="auto"/>
      <w:ind/>
    </w:pPr>
    <w:rPr>
      <w:rFonts w:ascii="Segoe UI" w:hAnsi="Segoe UI"/>
      <w:sz w:val="18"/>
    </w:rPr>
  </w:style>
  <w:style w:styleId="Style_26_ch" w:type="character">
    <w:name w:val="Balloon Text"/>
    <w:basedOn w:val="Style_4_ch"/>
    <w:link w:val="Style_26"/>
    <w:rPr>
      <w:rFonts w:ascii="Segoe UI" w:hAnsi="Segoe UI"/>
      <w:sz w:val="18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2025-06-05T08:57:19Z</dcterms:modified>
</cp:coreProperties>
</file>