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4729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изменения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24.04.2019 № 4860-П</w:t>
      </w: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абзацем вторым пункта 1 статьи 78.1 Бюджетного кодекса Российской Федерации, пунктом 2 Порядка определения объема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и условия предоставления субсидий из бюджета города Магнитогорска муниципальным бюджетным и муниципальным автономным учреждениям, подведомственным Управлению образования администрации города Магнитогорска, на иные цели, утвержденного постановлением администрации города Магнитогорска от 23.12.2022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14132-П, типовой формой соглашения о предоставлении субсидии на иные цели, утвержденной постановлением администрации города Магнитогорска от 15.11.2022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12102-П,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24.04.2019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4860-П «Об утверждении Перечня кодов субсидий, предоставляемых из бюджета города Магнитогорска муниципальным бюджетным и муниципальным автономным учреждениям на иные цели» (далее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постановление) изменение, пункт </w:t>
      </w:r>
      <w:r>
        <w:rPr>
          <w:rFonts w:ascii="Times New Roman" w:hAnsi="Times New Roman"/>
          <w:color w:val="000000"/>
          <w:sz w:val="28"/>
        </w:rPr>
        <w:t>3.13</w:t>
      </w:r>
      <w:r>
        <w:rPr>
          <w:rFonts w:ascii="Times New Roman" w:hAnsi="Times New Roman"/>
          <w:color w:val="000000"/>
          <w:sz w:val="28"/>
        </w:rPr>
        <w:t xml:space="preserve"> приложения к постановлению изложить в следующей редакции: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3"/>
        <w:gridCol w:w="7079"/>
        <w:gridCol w:w="1422"/>
      </w:tblGrid>
      <w:tr>
        <w:trPr>
          <w:trHeight w:hRule="atLeast" w:val="389"/>
        </w:trPr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type="dxa" w:w="7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Субсидия на проведение капитальных, текущих, аварийных ремонтов, разработку проектно-сметной документации и техническое обследование и демонтаж зданий и конструкций, проведение экспертизы проектно-сметной документации для проведения ремонтных работ, устройство ограждений, теневых навесов, спортивных, детских площадок, приобретение материалов для проведения ремонтных работ, устройство (замена), ремонт и приобретение трубопроводной арматуры (запорной, воздушной, дренажной т.д.), демонтаж, монтаж игрового оборудования, разработку проекта освоения лесов, </w:t>
            </w:r>
            <w:r>
              <w:rPr>
                <w:rFonts w:ascii="Times New Roman" w:hAnsi="Times New Roman"/>
                <w:sz w:val="24"/>
              </w:rPr>
              <w:t>выполнение кадастровых работ</w:t>
            </w:r>
            <w:r>
              <w:rPr>
                <w:rFonts w:ascii="Times New Roman" w:hAnsi="Times New Roman"/>
                <w:sz w:val="24"/>
              </w:rPr>
              <w:t xml:space="preserve">, работ по откачке воды из подвального помещения, изготовление </w:t>
            </w:r>
            <w:r>
              <w:rPr>
                <w:rFonts w:ascii="Times New Roman" w:hAnsi="Times New Roman"/>
                <w:sz w:val="24"/>
              </w:rPr>
              <w:t>технических паспортов, технических планов, паспортов фасадов зданий</w:t>
            </w:r>
          </w:p>
        </w:tc>
        <w:tc>
          <w:tcPr>
            <w:tcW w:type="dxa" w:w="1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7041</w:t>
            </w:r>
          </w:p>
        </w:tc>
      </w:tr>
    </w:tbl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Службе внешних связей и молодежной политики администрации города Магнитогорска (Болкун Н.И.) разместить настоящее постановление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Макарову А.Н.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города Магнитогорска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С.Н. Бердников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Вр-2129405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2025-06-03T08:26:22Z</dcterms:modified>
</cp:coreProperties>
</file>