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6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7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8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b w:val="0"/>
          <w:color w:val="000000"/>
          <w:sz w:val="22"/>
        </w:rPr>
        <w:t>22.05.2025 № 4522-П</w:t>
      </w:r>
    </w:p>
    <w:p w14:paraId="0900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0A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B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C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«Развитие физической культуры и спорта </w:t>
      </w:r>
    </w:p>
    <w:p w14:paraId="0D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Магнитогорске» на 2025 - 2030 гг.</w:t>
      </w:r>
    </w:p>
    <w:p w14:paraId="0E000000">
      <w:pPr>
        <w:widowControl w:val="0"/>
        <w:spacing w:after="0" w:line="240" w:lineRule="auto"/>
        <w:ind/>
        <w:jc w:val="right"/>
        <w:rPr>
          <w:rFonts w:ascii="Times New Roman" w:hAnsi="Times New Roman"/>
        </w:rPr>
      </w:pPr>
    </w:p>
    <w:p w14:paraId="0F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10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11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12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«Организация физкультурно-массовой работы с населением»</w:t>
      </w:r>
    </w:p>
    <w:p w14:paraId="13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14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9"/>
        <w:gridCol w:w="5959"/>
      </w:tblGrid>
      <w:tr>
        <w:tc>
          <w:tcPr>
            <w:tcW w:type="dxa" w:w="8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17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18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19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4"/>
        <w:gridCol w:w="1600"/>
        <w:gridCol w:w="3183"/>
        <w:gridCol w:w="1108"/>
        <w:gridCol w:w="1161"/>
        <w:gridCol w:w="1033"/>
        <w:gridCol w:w="866"/>
        <w:gridCol w:w="860"/>
        <w:gridCol w:w="860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 в возрасте 3 - 29 лет, систематически занимающихся физической культурой и спортом, в </w:t>
            </w:r>
            <w:r>
              <w:rPr>
                <w:rFonts w:ascii="Times New Roman" w:hAnsi="Times New Roman"/>
              </w:rPr>
              <w:t>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92,36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92,56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92,81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93,35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муниципального образования данной возрастной категории 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5,3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55,30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58,00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60,50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64,50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32,50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38,00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46,00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трудоспособного возраста,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52,97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52,97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53,97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55,37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57,17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58,87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59,97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 муниципального образования, выполняющих нормы Всероссийского физкультурно-спортивного комплекса «Готов к труду и обороне» (ГТО), в общей численности населения </w:t>
            </w:r>
            <w:r>
              <w:rPr>
                <w:rFonts w:ascii="Times New Roman" w:hAnsi="Times New Roman"/>
              </w:rPr>
              <w:t>муниципального образования, принявшего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75,50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66,00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68,00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населения данной категории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31,72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20,10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20,20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20,30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20,40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20,57</w:t>
            </w:r>
          </w:p>
        </w:tc>
      </w:tr>
    </w:tbl>
    <w:p w14:paraId="6D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6E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6F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70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7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7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3 - 29 лет,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90,45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90,45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90,45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муниципального образования данной возрастной категории 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43,73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43,73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43,73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55,3</w:t>
            </w:r>
          </w:p>
        </w:tc>
      </w:tr>
      <w:tr>
        <w:trPr>
          <w:trHeight w:hRule="atLeast" w:val="2969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30,67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30,67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30,67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32,5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 трудоспособного возраста, систематически занимающихся физической культурой и спортом, в общей численности граждан муниципального </w:t>
            </w:r>
            <w:r>
              <w:rPr>
                <w:rFonts w:ascii="Times New Roman" w:hAnsi="Times New Roman"/>
              </w:rPr>
              <w:t>образования данной возрастной категории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51,65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51,65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51,65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52,97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муниципального образования, выполняющих нормы Всероссийского физкультурно-спортивного комплекса «Готов к труду и обороне» (ГТО), в общей численности населения муниципального образования, принявшего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</w:t>
            </w:r>
          </w:p>
        </w:tc>
      </w:tr>
      <w:tr>
        <w:trPr>
          <w:trHeight w:hRule="atLeast" w:val="46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населения данной категории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</w:tbl>
    <w:p w14:paraId="EE000000">
      <w:pPr>
        <w:pageBreakBefore w:val="1"/>
        <w:widowControl w:val="0"/>
        <w:tabs>
          <w:tab w:leader="none" w:pos="7468" w:val="center"/>
        </w:tabs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EF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72"/>
        <w:gridCol w:w="3312"/>
        <w:gridCol w:w="1232"/>
        <w:gridCol w:w="2849"/>
        <w:gridCol w:w="2256"/>
        <w:gridCol w:w="839"/>
        <w:gridCol w:w="839"/>
        <w:gridCol w:w="839"/>
        <w:gridCol w:w="839"/>
        <w:gridCol w:w="839"/>
        <w:gridCol w:w="839"/>
      </w:tblGrid>
      <w:tr>
        <w:tc>
          <w:tcPr>
            <w:tcW w:type="dxa" w:w="5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33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8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2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3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25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населением»</w:t>
            </w:r>
          </w:p>
        </w:tc>
      </w:tr>
      <w:tr>
        <w:trPr>
          <w:trHeight w:hRule="atLeast" w:val="1181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(за исключением тестирования выполнения нормативов комплекса ГТО)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с целью укрепления здоровья, гармоничное и всесторонне развитие личности, воспитание патриотизма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1126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Проведение тестирования выполнения нормативов испытаний (тестов) комплекса ГТО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Проведение мероприятий с целью улучшения физической подготовки жителей города и в целом развитие массового спорта 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</w:tr>
      <w:t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Проведение физкультурно-оздоровительных мероприятий, включенных в календарный план спортивных мероприятий 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284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спортивных мероприятий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Проведение спортивных мероприятий, включенных в календарный план спортивных мероприятий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</w:tr>
      <w:tr>
        <w:trPr>
          <w:trHeight w:hRule="atLeast" w:val="754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участия спортивных сборных команд в официальных спортивных мероприятиях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Участие спортивных команд города в официальных спортивных мероприятиях </w:t>
            </w:r>
            <w:r>
              <w:rPr>
                <w:rFonts w:ascii="Times New Roman" w:hAnsi="Times New Roman"/>
                <w:highlight w:val="white"/>
              </w:rPr>
              <w:t>по различным видам </w:t>
            </w:r>
            <w:r>
              <w:rPr>
                <w:rFonts w:ascii="Times New Roman" w:hAnsi="Times New Roman"/>
                <w:highlight w:val="white"/>
              </w:rPr>
              <w:t>спорта</w:t>
            </w:r>
            <w:r>
              <w:rPr>
                <w:rFonts w:ascii="Times New Roman" w:hAnsi="Times New Roman"/>
              </w:rPr>
              <w:t xml:space="preserve">, в которых приняли участие спортивные команды города 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1012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доступа к объектам спорта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час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Предоставление в пользование населению объектов спорта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59200,0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</w:tr>
      <w:tr>
        <w:trPr>
          <w:trHeight w:hRule="atLeast" w:val="1012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участия в официальных физкультурных (физкультурно-оздоровительных) мероприятиях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Принятие участия в официальных физкультурно-оздоровительных мероприятий, включенных в календарный план спортивных мероприятий, в которых принято участие 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1012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спортивно-оздоровительных мероприятий с целью стимулирования здорового образа жизни населения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</w:tr>
      <w:tr>
        <w:trPr>
          <w:trHeight w:hRule="atLeast" w:val="322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Оплата услуг специалистов по организации физкультурно-оздоровительной и спортивно-массовой работы с детьми и молодежью в возрасте от 6 до 29 </w:t>
            </w:r>
            <w:r>
              <w:rPr>
                <w:rFonts w:ascii="Times New Roman" w:hAnsi="Times New Roman"/>
              </w:rPr>
              <w:t>лет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оплату услуг специалистов по организации физкультурно-оздоровительной и </w:t>
            </w:r>
            <w:r>
              <w:rPr>
                <w:rFonts w:ascii="Times New Roman" w:hAnsi="Times New Roman"/>
              </w:rPr>
              <w:t>спортивно-массовой работы с детьми и молодежью в возрасте от 6 до 29 лет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023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1057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1909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22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оплату услуг специалистов по организации физкультурно-оздоровительной и спортивно-массовой работы </w:t>
            </w:r>
            <w:r>
              <w:rPr>
                <w:rFonts w:ascii="Times New Roman" w:hAnsi="Times New Roman"/>
              </w:rPr>
              <w:t>с лицами с ограниченными возможностями здоровья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22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 педагогических работников и руководителей муниципальных учреждений, реализующих дополнительные образовательные программы спортивной подготовки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повышение квалификации педагогических работников и руководителей муниципальных учреждений, реализующих дополнительные образовательные программы спортивной подготовки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238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спортивных судей и 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</w:t>
            </w:r>
            <w:r>
              <w:rPr>
                <w:rFonts w:ascii="Times New Roman" w:hAnsi="Times New Roman"/>
              </w:rPr>
              <w:t>оплату услуг спортивных судей и 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714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налогов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налогов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180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приобретение основных средств и материальных запасов в установленные договором сроки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12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 по подготовке и содержанию тюбинговых и лыжных трасс (склонов)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оказание услуг (выполнение работ) по подготовке и содержанию тюбинговых и лыжных трасс (склонов)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34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Получение спортивных лицензий для участия в спортивных соревнованиях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получение спортивных лицензий для участия в спортивных соревнованиях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954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реализацию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120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1.21.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12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1.22.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 обучения и курсов повышения квалификации работников учреждения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оплату курсов повышения квалификации работников учреждения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1.23.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Приобретение, изготовление и монтаж основных средств и предметов длительного пользования, материальных запасов, инвентаря и выполнение работ (Парк у Вечного огня)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приобретение, изготовление и монтаж основных средств и предметов длительного пользования, материальных запасов, инвентаря и выполнение работ (Парк у Вечного огня)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3011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1.24.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1.25.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Приобретение, изготовление и монтаж основных средств и предметов длительного пользования, материальных запасов, инвентаря и выполнение работ (Парк «Южный»)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 приобретение, изготовление и монтаж основных средств и предметов длительного пользования, материальных </w:t>
            </w:r>
            <w:r>
              <w:rPr>
                <w:rFonts w:ascii="Times New Roman" w:hAnsi="Times New Roman"/>
              </w:rPr>
              <w:t>запасов, инвентаря и выполнение работ (Парк «Южный»)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1.26.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Приобретение, изготовление и монтаж основных средств и предметов длительного пользования, материальных запасов, инвентаря и выполнение работ (Парк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Ветеранов Магнитки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приобретение, изготовление и монтаж основных средств и предметов длительного пользования, материальных запасов, инвентаря и выполнение работ (Парк Ветеранов Магнитки)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1.27.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Посадка, обрезка, валка, корчевание деревьев и кустарников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посадку, обрезку , валку, корчевание деревьев и кустарников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1.28.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подключение (присоединение) к сетям водоснабжения, канализации, электрическим и тепловым сетям;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 </w:t>
            </w:r>
            <w:r>
              <w:rPr>
                <w:rFonts w:ascii="Times New Roman" w:hAnsi="Times New Roman"/>
              </w:rPr>
              <w:t>техническое подключение (присоединение) к сетям водоснабжения, канализации, электрическим и тепловым сетям;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1.29.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разработка проектно-сметной документации, проведение экспертизы проектно-сметной документации для проведения ремонтных работ, изыскательные работы (Парк Ветерано</w:t>
            </w:r>
            <w:r>
              <w:rPr>
                <w:rFonts w:ascii="Times New Roman" w:hAnsi="Times New Roman"/>
              </w:rPr>
              <w:t>в Магнитки)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 </w:t>
            </w: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разработка проектно-сметной документации, проведение экспертизы проектно-сметной документации для проведения ремонтных работ, изыскательные работы (Парк Ветеранов Магнитки)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4702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48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="-5" w:tblpY="136" w:topFromText="0" w:vertAnchor="text"/>
        <w:tblW w:type="auto" w:w="0"/>
        <w:tblLayout w:type="fixed"/>
      </w:tblPr>
      <w:tblGrid>
        <w:gridCol w:w="5240"/>
        <w:gridCol w:w="1417"/>
        <w:gridCol w:w="1276"/>
        <w:gridCol w:w="1418"/>
        <w:gridCol w:w="1275"/>
        <w:gridCol w:w="1418"/>
        <w:gridCol w:w="1559"/>
        <w:gridCol w:w="1305"/>
      </w:tblGrid>
      <w:tr>
        <w:tc>
          <w:tcPr>
            <w:tcW w:type="dxa" w:w="5240"/>
            <w:vMerge w:val="restart"/>
          </w:tcPr>
          <w:p w14:paraId="49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417"/>
          </w:tcPr>
          <w:p w14:paraId="4A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251"/>
            <w:gridSpan w:val="6"/>
          </w:tcPr>
          <w:p w14:paraId="4B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0"/>
            <w:gridSpan w:val="1"/>
            <w:vMerge w:val="continue"/>
          </w:tcPr>
          <w:p/>
        </w:tc>
        <w:tc>
          <w:tcPr>
            <w:tcW w:type="dxa" w:w="1417"/>
            <w:vAlign w:val="center"/>
          </w:tcPr>
          <w:p w14:paraId="4C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vAlign w:val="center"/>
          </w:tcPr>
          <w:p w14:paraId="4D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8"/>
            <w:vAlign w:val="center"/>
          </w:tcPr>
          <w:p w14:paraId="4E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vAlign w:val="center"/>
          </w:tcPr>
          <w:p w14:paraId="4F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8"/>
          </w:tcPr>
          <w:p w14:paraId="50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559"/>
          </w:tcPr>
          <w:p w14:paraId="51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305"/>
          </w:tcPr>
          <w:p w14:paraId="52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0"/>
            <w:vAlign w:val="center"/>
          </w:tcPr>
          <w:p w14:paraId="53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7"/>
            <w:vAlign w:val="center"/>
          </w:tcPr>
          <w:p w14:paraId="54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vAlign w:val="center"/>
          </w:tcPr>
          <w:p w14:paraId="55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vAlign w:val="center"/>
          </w:tcPr>
          <w:p w14:paraId="56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vAlign w:val="center"/>
          </w:tcPr>
          <w:p w14:paraId="57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8"/>
          </w:tcPr>
          <w:p w14:paraId="58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559"/>
          </w:tcPr>
          <w:p w14:paraId="59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305"/>
          </w:tcPr>
          <w:p w14:paraId="5A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0"/>
          </w:tcPr>
          <w:p w14:paraId="5B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417"/>
            <w:vAlign w:val="center"/>
          </w:tcPr>
          <w:p w14:paraId="5C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162 944,36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vAlign w:val="center"/>
          </w:tcPr>
          <w:p w14:paraId="5D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154 547,99  </w:t>
            </w:r>
          </w:p>
        </w:tc>
        <w:tc>
          <w:tcPr>
            <w:tcW w:type="dxa" w:w="1418"/>
            <w:vAlign w:val="center"/>
          </w:tcPr>
          <w:p w14:paraId="5E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154 547,99  </w:t>
            </w:r>
          </w:p>
        </w:tc>
        <w:tc>
          <w:tcPr>
            <w:tcW w:type="dxa" w:w="1275"/>
            <w:vAlign w:val="center"/>
          </w:tcPr>
          <w:p w14:paraId="5F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136 297,39  </w:t>
            </w:r>
          </w:p>
        </w:tc>
        <w:tc>
          <w:tcPr>
            <w:tcW w:type="dxa" w:w="1418"/>
            <w:vAlign w:val="center"/>
          </w:tcPr>
          <w:p w14:paraId="60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145 940,28  </w:t>
            </w:r>
          </w:p>
        </w:tc>
        <w:tc>
          <w:tcPr>
            <w:tcW w:type="dxa" w:w="1559"/>
            <w:vAlign w:val="center"/>
          </w:tcPr>
          <w:p w14:paraId="61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168 554,92  </w:t>
            </w:r>
          </w:p>
        </w:tc>
        <w:tc>
          <w:tcPr>
            <w:tcW w:type="dxa" w:w="1305"/>
            <w:vAlign w:val="center"/>
          </w:tcPr>
          <w:p w14:paraId="62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922 832,93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</w:tr>
      <w:tr>
        <w:tc>
          <w:tcPr>
            <w:tcW w:type="dxa" w:w="5240"/>
          </w:tcPr>
          <w:p w14:paraId="63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7"/>
            <w:vAlign w:val="center"/>
          </w:tcPr>
          <w:p w14:paraId="64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vAlign w:val="center"/>
          </w:tcPr>
          <w:p w14:paraId="65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8"/>
            <w:vAlign w:val="center"/>
          </w:tcPr>
          <w:p w14:paraId="66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vAlign w:val="center"/>
          </w:tcPr>
          <w:p w14:paraId="67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8"/>
            <w:vAlign w:val="center"/>
          </w:tcPr>
          <w:p w14:paraId="68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59"/>
            <w:vAlign w:val="center"/>
          </w:tcPr>
          <w:p w14:paraId="69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05"/>
            <w:vAlign w:val="center"/>
          </w:tcPr>
          <w:p w14:paraId="6A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240"/>
          </w:tcPr>
          <w:p w14:paraId="6B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7"/>
            <w:vAlign w:val="center"/>
          </w:tcPr>
          <w:p w14:paraId="6C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276"/>
            <w:vAlign w:val="center"/>
          </w:tcPr>
          <w:p w14:paraId="6D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418"/>
            <w:vAlign w:val="center"/>
          </w:tcPr>
          <w:p w14:paraId="6E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275"/>
            <w:vAlign w:val="center"/>
          </w:tcPr>
          <w:p w14:paraId="6F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418"/>
            <w:vAlign w:val="center"/>
          </w:tcPr>
          <w:p w14:paraId="70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559"/>
            <w:vAlign w:val="center"/>
          </w:tcPr>
          <w:p w14:paraId="71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305"/>
            <w:vAlign w:val="center"/>
          </w:tcPr>
          <w:p w14:paraId="72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62 517,39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</w:tr>
      <w:tr>
        <w:tc>
          <w:tcPr>
            <w:tcW w:type="dxa" w:w="5240"/>
          </w:tcPr>
          <w:p w14:paraId="73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7"/>
            <w:vAlign w:val="center"/>
          </w:tcPr>
          <w:p w14:paraId="74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152 488,63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vAlign w:val="center"/>
          </w:tcPr>
          <w:p w14:paraId="75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144 092,26  </w:t>
            </w:r>
          </w:p>
        </w:tc>
        <w:tc>
          <w:tcPr>
            <w:tcW w:type="dxa" w:w="1418"/>
            <w:vAlign w:val="center"/>
          </w:tcPr>
          <w:p w14:paraId="76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144 092,26  </w:t>
            </w:r>
          </w:p>
        </w:tc>
        <w:tc>
          <w:tcPr>
            <w:tcW w:type="dxa" w:w="1275"/>
            <w:vAlign w:val="center"/>
          </w:tcPr>
          <w:p w14:paraId="77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125 913,99  </w:t>
            </w:r>
          </w:p>
        </w:tc>
        <w:tc>
          <w:tcPr>
            <w:tcW w:type="dxa" w:w="1418"/>
            <w:vAlign w:val="center"/>
          </w:tcPr>
          <w:p w14:paraId="78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135 556,88  </w:t>
            </w:r>
          </w:p>
        </w:tc>
        <w:tc>
          <w:tcPr>
            <w:tcW w:type="dxa" w:w="1559"/>
            <w:vAlign w:val="center"/>
          </w:tcPr>
          <w:p w14:paraId="79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158 171,52  </w:t>
            </w:r>
          </w:p>
        </w:tc>
        <w:tc>
          <w:tcPr>
            <w:tcW w:type="dxa" w:w="1305"/>
            <w:vAlign w:val="center"/>
          </w:tcPr>
          <w:p w14:paraId="7A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860 315,</w:t>
            </w:r>
            <w:r>
              <w:rPr>
                <w:rFonts w:ascii="Times New Roman" w:hAnsi="Times New Roman"/>
                <w:color w:val="000000"/>
              </w:rPr>
              <w:t>54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</w:tr>
      <w:tr>
        <w:tc>
          <w:tcPr>
            <w:tcW w:type="dxa" w:w="5240"/>
          </w:tcPr>
          <w:p w14:paraId="7B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7"/>
            <w:vAlign w:val="center"/>
          </w:tcPr>
          <w:p w14:paraId="7C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vAlign w:val="center"/>
          </w:tcPr>
          <w:p w14:paraId="7D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8"/>
            <w:vAlign w:val="center"/>
          </w:tcPr>
          <w:p w14:paraId="7E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vAlign w:val="center"/>
          </w:tcPr>
          <w:p w14:paraId="7F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8"/>
            <w:vAlign w:val="center"/>
          </w:tcPr>
          <w:p w14:paraId="80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59"/>
            <w:vAlign w:val="center"/>
          </w:tcPr>
          <w:p w14:paraId="81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05"/>
            <w:vAlign w:val="center"/>
          </w:tcPr>
          <w:p w14:paraId="82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83020000">
      <w:pPr>
        <w:widowControl w:val="0"/>
        <w:spacing w:after="0" w:line="240" w:lineRule="auto"/>
        <w:ind w:firstLine="720" w:left="0"/>
        <w:jc w:val="center"/>
        <w:outlineLvl w:val="1"/>
        <w:rPr>
          <w:rFonts w:ascii="Times New Roman" w:hAnsi="Times New Roman"/>
        </w:rPr>
      </w:pPr>
    </w:p>
    <w:p w14:paraId="84020000">
      <w:pPr>
        <w:widowControl w:val="0"/>
        <w:spacing w:after="0" w:line="240" w:lineRule="auto"/>
        <w:ind w:firstLine="720" w:left="0"/>
        <w:jc w:val="center"/>
        <w:outlineLvl w:val="1"/>
        <w:rPr>
          <w:rFonts w:ascii="Times New Roman" w:hAnsi="Times New Roman"/>
        </w:rPr>
      </w:pPr>
    </w:p>
    <w:p w14:paraId="85020000">
      <w:pPr>
        <w:widowControl w:val="0"/>
        <w:spacing w:after="0" w:line="240" w:lineRule="auto"/>
        <w:ind w:firstLine="72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План по реализации </w:t>
      </w:r>
      <w:r>
        <w:rPr>
          <w:rFonts w:ascii="Times New Roman" w:hAnsi="Times New Roman"/>
        </w:rPr>
        <w:t>комплекса процессных мероприятий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8602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234"/>
        <w:gridCol w:w="5305"/>
        <w:gridCol w:w="3866"/>
        <w:gridCol w:w="2251"/>
        <w:gridCol w:w="2272"/>
      </w:tblGrid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8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92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(за исключением тестирования выполнения нормативов комплекса ГТО)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тестирования выполнения нормативов испытаний (тестов) комплекса ГТО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спортивных мероприятий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участия спортивных сборных команд в официальных спортивных мероприятиях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доступа к объектам спорта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участия в официальных физкультурных (физкультурно-оздоровительных) мероприятиях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услуг 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</w:t>
            </w:r>
            <w:r>
              <w:rPr>
                <w:rFonts w:ascii="Times New Roman" w:hAnsi="Times New Roman"/>
              </w:rPr>
              <w:t>Оплата товаров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Контракты/ акты/ 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 педагогических работников и руководителей муниципальных учреждений, реализующих дополнительные образовательные программы спортивной подготовки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спортивных судей и 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Заключенное соглашение о порядке и условиях предоставления субсидии на иные цели, не связанные с финансовым обеспечением </w:t>
            </w:r>
            <w:r>
              <w:rPr>
                <w:rFonts w:ascii="Times New Roman" w:hAnsi="Times New Roman"/>
              </w:rPr>
              <w:t>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налогов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налогов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Платежный документ 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1.17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 по подготовке и содержанию тюбинговых и лыжных трасс (склонов)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Получение спортивных лицензий для участия в спортивных соревнованиях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</w:t>
            </w:r>
            <w:r>
              <w:rPr>
                <w:rFonts w:ascii="Times New Roman" w:hAnsi="Times New Roman"/>
              </w:rPr>
              <w:t xml:space="preserve">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Заключенное соглашение о порядке и условиях предоставления субсидии на иные цели, не связанные с финансовым обеспечением </w:t>
            </w:r>
            <w:r>
              <w:rPr>
                <w:rFonts w:ascii="Times New Roman" w:hAnsi="Times New Roman"/>
              </w:rPr>
              <w:t>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1.21.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1.22.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обучения и курсов повышения квалификации работников учреждения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1.23.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риобретение, изготовление и монтаж основных средств и предметов длительного пользования, материальных запасов, инвентаря и выполнение работ (Парк у Вечного огня)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1.24.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Заключенное соглашение о порядке и условиях предоставления субсидии на иные </w:t>
            </w:r>
            <w:r>
              <w:rPr>
                <w:rFonts w:ascii="Times New Roman" w:hAnsi="Times New Roman"/>
              </w:rPr>
              <w:t>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1.25.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риобретение, изготовление и монтаж основных средств и предметов длительного пользования, материальных запасов, инвентаря и выполнение работ (Парк «Южный»)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1.26.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 xml:space="preserve">риобретение, изготовление и монтаж основных средств и предметов длительного пользования, материальных запасов, инвентаря и выполнение работ (Парк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Ветеранов Магнитки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1.27.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Посадка, обрезка, валка</w:t>
            </w:r>
            <w:r>
              <w:rPr>
                <w:rFonts w:ascii="Times New Roman" w:hAnsi="Times New Roman"/>
              </w:rPr>
              <w:t>, корчевание деревьев и кустарников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работ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1.28.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подключение (присоединение) к сетям водоснабжения, канализации, электрическим и тепловым сетям;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Заключенное соглашение о порядке и условиях предоставления субсидии на иные </w:t>
            </w:r>
            <w:r>
              <w:rPr>
                <w:rFonts w:ascii="Times New Roman" w:hAnsi="Times New Roman"/>
              </w:rPr>
              <w:t>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работ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1.29.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разработка проектно-сметной документации, проведение экспертизы проектно-сметной документации для проведения ремонтных работ, изыскательные работы (Парк Ветеранов Магнитки)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работ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</w:tbl>
    <w:p w14:paraId="6E04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F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70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71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«Реализация дополнительных образовательных программ спортивной подготовки»</w:t>
      </w:r>
    </w:p>
    <w:p w14:paraId="720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8"/>
        </w:rPr>
      </w:pPr>
    </w:p>
    <w:p w14:paraId="730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9"/>
        <w:gridCol w:w="5959"/>
      </w:tblGrid>
      <w:tr>
        <w:tc>
          <w:tcPr>
            <w:tcW w:type="dxa" w:w="8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7604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770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78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4"/>
        <w:gridCol w:w="1600"/>
        <w:gridCol w:w="3183"/>
        <w:gridCol w:w="1108"/>
        <w:gridCol w:w="1161"/>
        <w:gridCol w:w="1033"/>
        <w:gridCol w:w="866"/>
        <w:gridCol w:w="860"/>
        <w:gridCol w:w="860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 – победителей и призеров в официальных региональных и всероссийских соревнованиях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</w:tbl>
    <w:p w14:paraId="9A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9B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9C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9E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A3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4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4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rPr>
          <w:trHeight w:hRule="atLeast" w:val="411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соревнованиях»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4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 – победителей и призеров в официальных региональных и всероссийских соревнованиях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4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4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4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</w:tbl>
    <w:p w14:paraId="CF04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D0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8"/>
        <w:gridCol w:w="3310"/>
        <w:gridCol w:w="1188"/>
        <w:gridCol w:w="3396"/>
        <w:gridCol w:w="2092"/>
        <w:gridCol w:w="729"/>
        <w:gridCol w:w="729"/>
        <w:gridCol w:w="729"/>
        <w:gridCol w:w="729"/>
        <w:gridCol w:w="729"/>
        <w:gridCol w:w="729"/>
      </w:tblGrid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33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33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0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37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928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соревнованиях»</w:t>
            </w:r>
          </w:p>
        </w:tc>
      </w:tr>
      <w:tr>
        <w:trPr>
          <w:trHeight w:hRule="atLeast" w:val="203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олимпийским видам спорта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услуг по дополнительным образовательным программам спортивной подготовки по олимпийским видам спорта, (число лиц, прошедших спортивную подготовку на этапе спортивной подготовки)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4882,0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468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686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неолимпийским видам спорта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услуг по </w:t>
            </w:r>
            <w:r>
              <w:rPr>
                <w:rFonts w:ascii="Times New Roman" w:hAnsi="Times New Roman"/>
              </w:rPr>
              <w:t>дополнительны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образовательны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программ</w:t>
            </w:r>
            <w:r>
              <w:rPr>
                <w:rFonts w:ascii="Times New Roman" w:hAnsi="Times New Roman"/>
                <w:sz w:val="24"/>
              </w:rPr>
              <w:t>ам</w:t>
            </w:r>
            <w:r>
              <w:rPr>
                <w:rFonts w:ascii="Times New Roman" w:hAnsi="Times New Roman"/>
              </w:rPr>
              <w:t xml:space="preserve"> спортивной подготовки по неолимпийским видам спорта, (число лиц, прошедших спортивную подготовку на этапе спортивной подготовки)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</w:tr>
      <w:tr>
        <w:trPr>
          <w:trHeight w:hRule="atLeast" w:val="34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Реализация дополнительных образовательных программ спортивной подготовки по </w:t>
            </w:r>
            <w:r>
              <w:rPr>
                <w:rFonts w:ascii="Times New Roman" w:hAnsi="Times New Roman"/>
              </w:rPr>
              <w:t>адаптивным видам спорта. Спорт лиц с интеллектуальными нарушениями.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услуг по </w:t>
            </w:r>
            <w:r>
              <w:rPr>
                <w:rFonts w:ascii="Times New Roman" w:hAnsi="Times New Roman"/>
              </w:rPr>
              <w:t>дополнительны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образовательны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программ</w:t>
            </w:r>
            <w:r>
              <w:rPr>
                <w:rFonts w:ascii="Times New Roman" w:hAnsi="Times New Roman"/>
                <w:sz w:val="24"/>
              </w:rPr>
              <w:t>ам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спортивной подготовки по адаптивным видам спорта (число лиц, прошедших спортивную подготовку на этапе спортивной подготовки)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</w:tr>
      <w:tr>
        <w:trPr>
          <w:trHeight w:hRule="atLeast" w:val="284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глухих.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Предоставление услуг по дополнительным образовательны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программ</w:t>
            </w:r>
            <w:r>
              <w:rPr>
                <w:rFonts w:ascii="Times New Roman" w:hAnsi="Times New Roman"/>
                <w:sz w:val="24"/>
              </w:rPr>
              <w:t>ам</w:t>
            </w:r>
            <w:r>
              <w:rPr>
                <w:rFonts w:ascii="Times New Roman" w:hAnsi="Times New Roman"/>
              </w:rPr>
              <w:t xml:space="preserve"> спортивной подготовки по адаптивным видам спорта (число лиц, прошедших спортивную подготовку на этапе спортивной подготовки)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</w:tr>
      <w:tr>
        <w:trPr>
          <w:trHeight w:hRule="atLeast" w:val="754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слепых.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Предоставление услуг по дополнительным образовательным программ</w:t>
            </w:r>
            <w:r>
              <w:rPr>
                <w:rFonts w:ascii="Times New Roman" w:hAnsi="Times New Roman"/>
                <w:sz w:val="24"/>
              </w:rPr>
              <w:t>ам</w:t>
            </w:r>
            <w:r>
              <w:rPr>
                <w:rFonts w:ascii="Times New Roman" w:hAnsi="Times New Roman"/>
              </w:rPr>
              <w:t xml:space="preserve"> спортивной подготовки по адаптивным видам спорта (число лиц, прошедших спортивную подготовку на этапе спортивной подготовки)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спортивных мероприятий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спортивных мероприятий, включенных в единый календарный план спортивных мероприятий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>
        <w:trPr>
          <w:trHeight w:hRule="atLeast" w:val="710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Поощрение денежными выплатами за призовые места на Всероссийских и международных соревнованиях 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  <w:p w14:paraId="2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физических лиц, получивших денежное поощрение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налогов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налогов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 </w:t>
            </w: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специальной оценки условий труда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проведение специальной оценки условий труда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рофессиональн</w:t>
            </w:r>
            <w:r>
              <w:rPr>
                <w:rFonts w:ascii="Times New Roman" w:hAnsi="Times New Roman"/>
              </w:rPr>
              <w:t>ая</w:t>
            </w:r>
            <w:r>
              <w:rPr>
                <w:rFonts w:ascii="Times New Roman" w:hAnsi="Times New Roman"/>
              </w:rPr>
              <w:t xml:space="preserve"> гигиеническ</w:t>
            </w:r>
            <w:r>
              <w:rPr>
                <w:rFonts w:ascii="Times New Roman" w:hAnsi="Times New Roman"/>
              </w:rPr>
              <w:t>ая</w:t>
            </w:r>
            <w:r>
              <w:rPr>
                <w:rFonts w:ascii="Times New Roman" w:hAnsi="Times New Roman"/>
              </w:rPr>
              <w:t xml:space="preserve"> подг</w:t>
            </w:r>
            <w:r>
              <w:rPr>
                <w:rFonts w:ascii="Times New Roman" w:hAnsi="Times New Roman"/>
              </w:rPr>
              <w:t>отовка и аттестация</w:t>
            </w:r>
            <w:r>
              <w:rPr>
                <w:rFonts w:ascii="Times New Roman" w:hAnsi="Times New Roman"/>
              </w:rPr>
              <w:t xml:space="preserve"> должностных лиц и работников организаций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профессиональную гигиеническую подготовку и аттестацию должностных лиц и работников организаций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за технологическое подключение (присоединение) к сетям газораспределения, </w:t>
            </w:r>
            <w:r>
              <w:rPr>
                <w:rFonts w:ascii="Times New Roman" w:hAnsi="Times New Roman"/>
              </w:rPr>
              <w:t>водоснабжения, канализации, электрическим и тепловым сетям; за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 оплату за технологическое подключение </w:t>
            </w:r>
            <w:r>
              <w:rPr>
                <w:rFonts w:ascii="Times New Roman" w:hAnsi="Times New Roman"/>
              </w:rPr>
              <w:t>(присоединение) к сетям газораспределения, водоснабжения, канализации, электрическим и тепловым сетям; за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обучения и курсов повышения квалификации работников учреждения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оплату обучения и курсов повышения квалификации работников учреждения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казание услуг (выполнение работ) по сертификации спортивных объектов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оказание услуг (выполнение работ) по сертификации спортивных объектов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</w:t>
            </w:r>
            <w:r>
              <w:rPr>
                <w:rFonts w:ascii="Times New Roman" w:hAnsi="Times New Roman"/>
              </w:rPr>
              <w:t xml:space="preserve">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реализацию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490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Единовременное поощрение главы города Магнитогорска одаренных детей в возрасте от 7 до 18 лет, занимающихся в муниципальных учреждениях, негосударственных учреждениях, </w:t>
            </w:r>
            <w:r>
              <w:rPr>
                <w:rFonts w:ascii="Times New Roman" w:hAnsi="Times New Roman"/>
              </w:rPr>
              <w:t>за  высокие спортивные достижения и их наставников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единовременное поощрение главы города Магнитогорска одаренных детей в возрасте от 7 до 18 лет, занимающихся в муниципальных </w:t>
            </w:r>
            <w:r>
              <w:rPr>
                <w:rFonts w:ascii="Times New Roman" w:hAnsi="Times New Roman"/>
              </w:rPr>
              <w:t>учреждениях, негосударственных учреждениях, за  высокие спортивные достижения и их наставников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</w:t>
            </w: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32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Финансовая поддержка муниципальных учреждений, 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финансовую поддержку муниципальных учреждений, 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2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выполнение мероприятий по обеспечению антитеррористической защищенности объектов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выполнение мероприятий по обеспечению антитеррористической защищенности объектов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2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 по обеспечению охранной и пожарной безопасности (включая установку, монтаж, ремонт систем видеонаблюдения, охранной, пожарной сигнализации, разработку проектно-сметной документации, проведение государственной экспертизы проектно-сметной документации)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мероприятия  по обеспечению охранной и пожарной безопасности (включая установку, монтаж, ремонт систем видеонаблюдения, охранной, пожарной сигнализации, разработку проектно-сметной документации, проведение государственной экспертизы проектно-сметной документации)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 w14:paraId="C605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C7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5070"/>
        <w:gridCol w:w="1417"/>
        <w:gridCol w:w="1448"/>
        <w:gridCol w:w="1245"/>
        <w:gridCol w:w="1276"/>
        <w:gridCol w:w="1276"/>
        <w:gridCol w:w="1417"/>
        <w:gridCol w:w="1974"/>
      </w:tblGrid>
      <w:tr>
        <w:tc>
          <w:tcPr>
            <w:tcW w:type="dxa" w:w="5070"/>
            <w:vMerge w:val="restart"/>
          </w:tcPr>
          <w:p w14:paraId="C8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417"/>
          </w:tcPr>
          <w:p w14:paraId="C9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636"/>
            <w:gridSpan w:val="6"/>
          </w:tcPr>
          <w:p w14:paraId="CA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070"/>
            <w:gridSpan w:val="1"/>
            <w:vMerge w:val="continue"/>
          </w:tcPr>
          <w:p/>
        </w:tc>
        <w:tc>
          <w:tcPr>
            <w:tcW w:type="dxa" w:w="1417"/>
            <w:vAlign w:val="center"/>
          </w:tcPr>
          <w:p w14:paraId="CB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48"/>
            <w:vAlign w:val="center"/>
          </w:tcPr>
          <w:p w14:paraId="CC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45"/>
            <w:vAlign w:val="center"/>
          </w:tcPr>
          <w:p w14:paraId="CD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6"/>
            <w:vAlign w:val="center"/>
          </w:tcPr>
          <w:p w14:paraId="CE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</w:tcPr>
          <w:p w14:paraId="CF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17"/>
          </w:tcPr>
          <w:p w14:paraId="D0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974"/>
          </w:tcPr>
          <w:p w14:paraId="D1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070"/>
            <w:vAlign w:val="center"/>
          </w:tcPr>
          <w:p w14:paraId="D2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7"/>
            <w:vAlign w:val="center"/>
          </w:tcPr>
          <w:p w14:paraId="D3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48"/>
            <w:vAlign w:val="center"/>
          </w:tcPr>
          <w:p w14:paraId="D4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45"/>
            <w:vAlign w:val="center"/>
          </w:tcPr>
          <w:p w14:paraId="D5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6"/>
            <w:vAlign w:val="center"/>
          </w:tcPr>
          <w:p w14:paraId="D6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</w:tcPr>
          <w:p w14:paraId="D7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7"/>
          </w:tcPr>
          <w:p w14:paraId="D8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974"/>
          </w:tcPr>
          <w:p w14:paraId="D9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470"/>
        </w:trPr>
        <w:tc>
          <w:tcPr>
            <w:tcW w:type="dxa" w:w="5070"/>
          </w:tcPr>
          <w:p w14:paraId="DA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378 340,</w:t>
            </w:r>
            <w:r>
              <w:rPr>
                <w:rFonts w:ascii="Times New Roman" w:hAnsi="Times New Roman"/>
                <w:color w:val="000000"/>
              </w:rPr>
              <w:t>86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44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24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293 681,65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97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5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1 890 675,07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</w:tr>
      <w:tr>
        <w:tc>
          <w:tcPr>
            <w:tcW w:type="dxa" w:w="5070"/>
          </w:tcPr>
          <w:p w14:paraId="E2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9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5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070"/>
          </w:tcPr>
          <w:p w14:paraId="EA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4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9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5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35 909,04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>
        <w:tc>
          <w:tcPr>
            <w:tcW w:type="dxa" w:w="5070"/>
          </w:tcPr>
          <w:p w14:paraId="F2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372 356,02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4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287 696,81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9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5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1 854 766,03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</w:tr>
      <w:tr>
        <w:tc>
          <w:tcPr>
            <w:tcW w:type="dxa" w:w="5070"/>
          </w:tcPr>
          <w:p w14:paraId="FA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6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9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6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0206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03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04060000">
      <w:pPr>
        <w:widowControl w:val="0"/>
        <w:spacing w:after="0" w:line="240" w:lineRule="auto"/>
        <w:ind w:firstLine="72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План по реализации </w:t>
      </w:r>
      <w:r>
        <w:rPr>
          <w:rFonts w:ascii="Times New Roman" w:hAnsi="Times New Roman"/>
        </w:rPr>
        <w:t>комплекса процессных мероприятий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0506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356"/>
        <w:gridCol w:w="5225"/>
        <w:gridCol w:w="3843"/>
        <w:gridCol w:w="2225"/>
        <w:gridCol w:w="2246"/>
      </w:tblGrid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07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89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олимпийским видам спорта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Контрольная точка 1.2. </w:t>
            </w:r>
            <w:r>
              <w:rPr>
                <w:rFonts w:ascii="Times New Roman" w:hAnsi="Times New Roman"/>
              </w:rPr>
              <w:t xml:space="preserve">Заключенное соглашение </w:t>
            </w:r>
            <w:r>
              <w:rPr>
                <w:rFonts w:ascii="Times New Roman" w:hAnsi="Times New Roman"/>
              </w:rPr>
              <w:t>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.2.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Реализация дополнительных образовательных программ спортивной подготовки по неолимпийским </w:t>
            </w:r>
            <w:r>
              <w:rPr>
                <w:rFonts w:ascii="Times New Roman" w:hAnsi="Times New Roman"/>
              </w:rPr>
              <w:t>видам спорта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Обеспечение оказания муниципальных услуг (выполнение </w:t>
            </w:r>
            <w:r>
              <w:rPr>
                <w:rFonts w:ascii="Times New Roman" w:hAnsi="Times New Roman"/>
              </w:rPr>
              <w:t>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лиц с интеллектуальными нарушениями.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глухих.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Реализация дополнительных образовательных </w:t>
            </w:r>
            <w:r>
              <w:rPr>
                <w:rFonts w:ascii="Times New Roman" w:hAnsi="Times New Roman"/>
              </w:rPr>
              <w:t>программ спортивной подготовки по адаптивным видам спорта. Спорт слепых.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Обеспечение оказания </w:t>
            </w:r>
            <w:r>
              <w:rPr>
                <w:rFonts w:ascii="Times New Roman" w:hAnsi="Times New Roman"/>
              </w:rPr>
              <w:t>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спортивных мероприятий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 выполнена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Поощрение денежными выплатами за призовые места на Всероссийских и международных соревнованиях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Контрольная точка 1.2. </w:t>
            </w:r>
            <w:r>
              <w:rPr>
                <w:rFonts w:ascii="Times New Roman" w:hAnsi="Times New Roman"/>
              </w:rPr>
              <w:t xml:space="preserve">Оплата единовременного поощрения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1.8.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налогов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Заключенное соглашение о порядке и условиях предоставления субсидии на иные цели, не связанные с финансовым </w:t>
            </w:r>
            <w:r>
              <w:rPr>
                <w:rFonts w:ascii="Times New Roman" w:hAnsi="Times New Roman"/>
              </w:rPr>
              <w:t>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налогов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Платежный документ 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специальной оценки условий труда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Профессиональная гигиеническая</w:t>
            </w:r>
            <w:r>
              <w:rPr>
                <w:rFonts w:ascii="Times New Roman" w:hAnsi="Times New Roman"/>
              </w:rPr>
              <w:t xml:space="preserve"> подг</w:t>
            </w:r>
            <w:r>
              <w:rPr>
                <w:rFonts w:ascii="Times New Roman" w:hAnsi="Times New Roman"/>
              </w:rPr>
              <w:t>отовка и аттестация</w:t>
            </w:r>
            <w:r>
              <w:rPr>
                <w:rFonts w:ascii="Times New Roman" w:hAnsi="Times New Roman"/>
              </w:rPr>
              <w:t xml:space="preserve"> должностных лиц и работников организаций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Заключенное соглашение о </w:t>
            </w:r>
            <w:r>
              <w:rPr>
                <w:rFonts w:ascii="Times New Roman" w:hAnsi="Times New Roman"/>
              </w:rPr>
              <w:t>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Заключенные </w:t>
            </w:r>
            <w:r>
              <w:rPr>
                <w:rFonts w:ascii="Times New Roman" w:hAnsi="Times New Roman"/>
              </w:rPr>
              <w:t>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за технологическое подключение (присоединение) к сетям газораспределения, водоснабжения, канализации, электрическим и тепловым сетям; за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обучения и курсов повышения квалификации работников учреждения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казание услуг (выполнение работ) по сертификации спортивных объектов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</w:t>
            </w:r>
            <w:r>
              <w:rPr>
                <w:rFonts w:ascii="Times New Roman" w:hAnsi="Times New Roman"/>
              </w:rPr>
              <w:t xml:space="preserve"> мероприятий в соответствии с Реестром наказов избирателей депутатам Магнитогорского </w:t>
            </w:r>
            <w:r>
              <w:rPr>
                <w:rFonts w:ascii="Times New Roman" w:hAnsi="Times New Roman"/>
              </w:rPr>
              <w:t>городского Собрания депутатов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мероприятий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Единовременное поощрение главы города Магнитогорска одаренных детей в возрасте от 7 до 18 лет, занимающихся в муниципальных учреждениях, негосударственных учреждениях, за  высокие спортивные достижения и их наставников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мероприятий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Финансовая поддержка муниципальных учреждений, 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1.19.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выполнение мероприятий по обеспечению антитеррористической защищенности объектов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дополнительные 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1.20.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 по обеспечению охранной и пожарной безопасности (включая установку, монтаж, ремонт систем видеонаблюдения, охранной, пожарной сигнализации, разработку проектно-сметной документации, проведение государственной экспертизы проектно-сметной документации)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дополнительные 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</w:tbl>
    <w:p w14:paraId="5C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5D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bookmarkStart w:id="1" w:name="_GoBack"/>
      <w:bookmarkEnd w:id="1"/>
    </w:p>
    <w:p w14:paraId="5E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5F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60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«Реализация дополнительных общеразвивающих программ в области физической культуры и спорта»</w:t>
      </w:r>
    </w:p>
    <w:p w14:paraId="6107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8"/>
        </w:rPr>
      </w:pPr>
    </w:p>
    <w:p w14:paraId="6207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9"/>
        <w:gridCol w:w="5959"/>
      </w:tblGrid>
      <w:tr>
        <w:tc>
          <w:tcPr>
            <w:tcW w:type="dxa" w:w="8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6507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0"/>
        </w:rPr>
      </w:pPr>
    </w:p>
    <w:p w14:paraId="6607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6707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4"/>
        <w:gridCol w:w="1600"/>
        <w:gridCol w:w="3183"/>
        <w:gridCol w:w="1108"/>
        <w:gridCol w:w="1161"/>
        <w:gridCol w:w="1033"/>
        <w:gridCol w:w="866"/>
        <w:gridCol w:w="860"/>
        <w:gridCol w:w="860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158"/>
        </w:trP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«Содействие гармоничному развитию, всесторонней физической подготовленности и укреплению здоровья обучающихся»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обучающихся, принявших участие в спортивных мероприятиях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</w:tbl>
    <w:p w14:paraId="8907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10"/>
        </w:rPr>
      </w:pPr>
    </w:p>
    <w:p w14:paraId="8A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План достижения показателей комплекса процессных мероприятий в 2025 году </w:t>
      </w:r>
    </w:p>
    <w:p w14:paraId="8B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8D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92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7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7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«Содействие гармоничному развитию, всесторонней физической подготовленности и укреплению здоровья обучающихся»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7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обучающихся, принявших участие в спортивных мероприятиях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7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7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7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</w:tbl>
    <w:p w14:paraId="BE07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BF07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77"/>
        <w:gridCol w:w="2365"/>
        <w:gridCol w:w="1364"/>
        <w:gridCol w:w="2945"/>
        <w:gridCol w:w="2743"/>
        <w:gridCol w:w="839"/>
        <w:gridCol w:w="839"/>
        <w:gridCol w:w="839"/>
        <w:gridCol w:w="839"/>
        <w:gridCol w:w="839"/>
        <w:gridCol w:w="839"/>
      </w:tblGrid>
      <w:tr>
        <w:tc>
          <w:tcPr>
            <w:tcW w:type="dxa" w:w="4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3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3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9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7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3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928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«Содействие гармоничному развитию, всесторонней физической подготовленности и укреплению здоровья обучающихся»</w:t>
            </w:r>
          </w:p>
        </w:tc>
      </w:tr>
      <w:tr>
        <w:trPr>
          <w:trHeight w:hRule="atLeast" w:val="6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общеразвивающих программ</w:t>
            </w:r>
          </w:p>
        </w:tc>
        <w:tc>
          <w:tcPr>
            <w:tcW w:type="dxa" w:w="13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человеко-час</w:t>
            </w:r>
          </w:p>
        </w:tc>
        <w:tc>
          <w:tcPr>
            <w:tcW w:type="dxa" w:w="2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услуг по дополнительным общеразвивающим программам (количество человеко-часов)</w:t>
            </w:r>
          </w:p>
        </w:tc>
        <w:tc>
          <w:tcPr>
            <w:tcW w:type="dxa" w:w="2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</w:t>
            </w:r>
            <w:r>
              <w:rPr>
                <w:rFonts w:ascii="Times New Roman" w:hAnsi="Times New Roman"/>
              </w:rPr>
              <w:t>,0</w:t>
            </w:r>
          </w:p>
        </w:tc>
      </w:tr>
    </w:tbl>
    <w:p w14:paraId="E3070000">
      <w:pPr>
        <w:pageBreakBefore w:val="1"/>
        <w:widowControl w:val="0"/>
        <w:tabs>
          <w:tab w:leader="none" w:pos="7468" w:val="center"/>
        </w:tabs>
        <w:spacing w:after="0" w:line="240" w:lineRule="auto"/>
        <w:ind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E4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7196"/>
        <w:gridCol w:w="1125"/>
        <w:gridCol w:w="993"/>
        <w:gridCol w:w="1275"/>
        <w:gridCol w:w="993"/>
        <w:gridCol w:w="992"/>
        <w:gridCol w:w="1134"/>
        <w:gridCol w:w="1730"/>
      </w:tblGrid>
      <w:tr>
        <w:tc>
          <w:tcPr>
            <w:tcW w:type="dxa" w:w="7196"/>
            <w:vMerge w:val="restart"/>
          </w:tcPr>
          <w:p w14:paraId="E507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125"/>
          </w:tcPr>
          <w:p w14:paraId="E6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117"/>
            <w:gridSpan w:val="6"/>
          </w:tcPr>
          <w:p w14:paraId="E7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7196"/>
            <w:gridSpan w:val="1"/>
            <w:vMerge w:val="continue"/>
          </w:tcPr>
          <w:p/>
        </w:tc>
        <w:tc>
          <w:tcPr>
            <w:tcW w:type="dxa" w:w="1125"/>
            <w:vAlign w:val="center"/>
          </w:tcPr>
          <w:p w14:paraId="E8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93"/>
            <w:vAlign w:val="center"/>
          </w:tcPr>
          <w:p w14:paraId="E9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5"/>
            <w:vAlign w:val="center"/>
          </w:tcPr>
          <w:p w14:paraId="EA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93"/>
            <w:vAlign w:val="center"/>
          </w:tcPr>
          <w:p w14:paraId="EB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2"/>
          </w:tcPr>
          <w:p w14:paraId="EC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</w:tcPr>
          <w:p w14:paraId="ED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30"/>
          </w:tcPr>
          <w:p w14:paraId="EE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7196"/>
            <w:vAlign w:val="center"/>
          </w:tcPr>
          <w:p w14:paraId="EF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25"/>
            <w:vAlign w:val="center"/>
          </w:tcPr>
          <w:p w14:paraId="F0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3"/>
            <w:vAlign w:val="center"/>
          </w:tcPr>
          <w:p w14:paraId="F1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5"/>
            <w:vAlign w:val="center"/>
          </w:tcPr>
          <w:p w14:paraId="F2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93"/>
            <w:vAlign w:val="center"/>
          </w:tcPr>
          <w:p w14:paraId="F3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2"/>
          </w:tcPr>
          <w:p w14:paraId="F4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</w:tcPr>
          <w:p w14:paraId="F5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730"/>
          </w:tcPr>
          <w:p w14:paraId="F6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7196"/>
          </w:tcPr>
          <w:p w14:paraId="F707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73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21 116,26</w:t>
            </w:r>
          </w:p>
        </w:tc>
      </w:tr>
      <w:tr>
        <w:tc>
          <w:tcPr>
            <w:tcW w:type="dxa" w:w="7196"/>
          </w:tcPr>
          <w:p w14:paraId="FF07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7196"/>
          </w:tcPr>
          <w:p w14:paraId="07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7196"/>
          </w:tcPr>
          <w:p w14:paraId="0F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21 116,26</w:t>
            </w:r>
          </w:p>
        </w:tc>
      </w:tr>
      <w:tr>
        <w:tc>
          <w:tcPr>
            <w:tcW w:type="dxa" w:w="7196"/>
          </w:tcPr>
          <w:p w14:paraId="17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1F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20080000">
      <w:pPr>
        <w:widowControl w:val="0"/>
        <w:spacing w:after="0" w:line="240" w:lineRule="auto"/>
        <w:ind w:firstLine="72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План по реализации </w:t>
      </w:r>
      <w:r>
        <w:rPr>
          <w:rFonts w:ascii="Times New Roman" w:hAnsi="Times New Roman"/>
        </w:rPr>
        <w:t>комплекса процессных мероприятий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2108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356"/>
        <w:gridCol w:w="5225"/>
        <w:gridCol w:w="3843"/>
        <w:gridCol w:w="2225"/>
        <w:gridCol w:w="2246"/>
      </w:tblGrid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23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89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Содействие гармоничному развитию, всесторонней физической подготовленности и укреплению здоровья обучающихся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8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общеразвивающих программ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8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8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</w:t>
            </w:r>
            <w:r>
              <w:rPr>
                <w:rFonts w:ascii="Times New Roman" w:hAnsi="Times New Roman"/>
              </w:rPr>
              <w:t>ждено</w:t>
            </w:r>
            <w:r>
              <w:rPr>
                <w:rFonts w:ascii="Times New Roman" w:hAnsi="Times New Roman"/>
              </w:rPr>
              <w:t xml:space="preserve">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Контрольная точка 1.2. </w:t>
            </w:r>
            <w:r>
              <w:rPr>
                <w:rFonts w:ascii="Times New Roman" w:hAnsi="Times New Roman"/>
              </w:rPr>
              <w:t xml:space="preserve">Заключенное соглашение </w:t>
            </w:r>
            <w:r>
              <w:rPr>
                <w:rFonts w:ascii="Times New Roman" w:hAnsi="Times New Roman"/>
              </w:rPr>
              <w:t>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</w:tbl>
    <w:p w14:paraId="42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43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44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45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46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47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48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49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«Сопровождение деятельности учреждений»</w:t>
      </w:r>
    </w:p>
    <w:p w14:paraId="4A08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8"/>
        </w:rPr>
      </w:pPr>
    </w:p>
    <w:p w14:paraId="4B08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9"/>
        <w:gridCol w:w="5959"/>
      </w:tblGrid>
      <w:tr>
        <w:tc>
          <w:tcPr>
            <w:tcW w:type="dxa" w:w="8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4E08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4F08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5008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4"/>
        <w:gridCol w:w="1600"/>
        <w:gridCol w:w="3183"/>
        <w:gridCol w:w="1108"/>
        <w:gridCol w:w="1161"/>
        <w:gridCol w:w="1033"/>
        <w:gridCol w:w="866"/>
        <w:gridCol w:w="860"/>
        <w:gridCol w:w="860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 п/п</w:t>
            </w:r>
          </w:p>
        </w:tc>
        <w:tc>
          <w:tcPr>
            <w:tcW w:type="dxa" w:w="3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type="dxa" w:w="31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type="dxa" w:w="1415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1.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освоенных средств, направленных на сопровождение деятельности учреждений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</w:t>
            </w:r>
          </w:p>
        </w:tc>
      </w:tr>
    </w:tbl>
    <w:p w14:paraId="72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73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7408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18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</w:t>
            </w:r>
          </w:p>
          <w:p w14:paraId="76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 конец</w:t>
            </w:r>
          </w:p>
          <w:p w14:paraId="7B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8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8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  <w:tr>
        <w:trPr>
          <w:trHeight w:hRule="atLeast" w:val="141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1.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8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освоенных средств, направленных на сопровождение деятельности учреждений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8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8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80000">
            <w:pPr>
              <w:pStyle w:val="Style_4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</w:t>
            </w:r>
          </w:p>
        </w:tc>
      </w:tr>
    </w:tbl>
    <w:p w14:paraId="A708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A808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71"/>
        <w:gridCol w:w="3063"/>
        <w:gridCol w:w="1305"/>
        <w:gridCol w:w="2334"/>
        <w:gridCol w:w="1806"/>
        <w:gridCol w:w="1010"/>
        <w:gridCol w:w="1129"/>
        <w:gridCol w:w="1095"/>
        <w:gridCol w:w="1010"/>
        <w:gridCol w:w="1134"/>
        <w:gridCol w:w="1004"/>
      </w:tblGrid>
      <w:tr>
        <w:tc>
          <w:tcPr>
            <w:tcW w:type="dxa" w:w="4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06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3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3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38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15361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</w:tr>
      <w:tr>
        <w:tc>
          <w:tcPr>
            <w:tcW w:type="dxa" w:w="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бюджетных средств, направленных на сопровождение деятельности учреждений</w:t>
            </w:r>
          </w:p>
        </w:tc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20 673,24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29 826,0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  <w:tc>
          <w:tcPr>
            <w:tcW w:type="dxa" w:w="1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</w:tr>
    </w:tbl>
    <w:p w14:paraId="CC08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CD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6091"/>
        <w:gridCol w:w="1266"/>
        <w:gridCol w:w="1096"/>
        <w:gridCol w:w="1096"/>
        <w:gridCol w:w="1096"/>
        <w:gridCol w:w="1096"/>
        <w:gridCol w:w="1130"/>
        <w:gridCol w:w="2159"/>
      </w:tblGrid>
      <w:tr>
        <w:tc>
          <w:tcPr>
            <w:tcW w:type="dxa" w:w="6091"/>
            <w:vMerge w:val="restart"/>
          </w:tcPr>
          <w:p w14:paraId="CE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266"/>
          </w:tcPr>
          <w:p w14:paraId="CF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673"/>
            <w:gridSpan w:val="6"/>
          </w:tcPr>
          <w:p w14:paraId="D0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091"/>
            <w:gridSpan w:val="1"/>
            <w:vMerge w:val="continue"/>
          </w:tcPr>
          <w:p/>
        </w:tc>
        <w:tc>
          <w:tcPr>
            <w:tcW w:type="dxa" w:w="1266"/>
            <w:vAlign w:val="center"/>
          </w:tcPr>
          <w:p w14:paraId="D1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096"/>
            <w:vAlign w:val="center"/>
          </w:tcPr>
          <w:p w14:paraId="D2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96"/>
            <w:vAlign w:val="center"/>
          </w:tcPr>
          <w:p w14:paraId="D3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96"/>
            <w:vAlign w:val="center"/>
          </w:tcPr>
          <w:p w14:paraId="D4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96"/>
          </w:tcPr>
          <w:p w14:paraId="D5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0"/>
          </w:tcPr>
          <w:p w14:paraId="D6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159"/>
          </w:tcPr>
          <w:p w14:paraId="D7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6091"/>
            <w:vAlign w:val="center"/>
          </w:tcPr>
          <w:p w14:paraId="D8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66"/>
            <w:vAlign w:val="center"/>
          </w:tcPr>
          <w:p w14:paraId="D9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096"/>
            <w:vAlign w:val="center"/>
          </w:tcPr>
          <w:p w14:paraId="DA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096"/>
            <w:vAlign w:val="center"/>
          </w:tcPr>
          <w:p w14:paraId="DB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096"/>
            <w:vAlign w:val="center"/>
          </w:tcPr>
          <w:p w14:paraId="DC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96"/>
          </w:tcPr>
          <w:p w14:paraId="DD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0"/>
          </w:tcPr>
          <w:p w14:paraId="DE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2159"/>
          </w:tcPr>
          <w:p w14:paraId="DF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6091"/>
          </w:tcPr>
          <w:p w14:paraId="E0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29 826,00  </w:t>
            </w:r>
          </w:p>
        </w:tc>
        <w:tc>
          <w:tcPr>
            <w:tcW w:type="dxa" w:w="109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13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21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8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173 617,35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</w:tr>
      <w:tr>
        <w:tc>
          <w:tcPr>
            <w:tcW w:type="dxa" w:w="6091"/>
          </w:tcPr>
          <w:p w14:paraId="E8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6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21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8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6091"/>
          </w:tcPr>
          <w:p w14:paraId="F0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6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21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8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6091"/>
          </w:tcPr>
          <w:p w14:paraId="F8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6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29 826,00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21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8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173 617,35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>
        <w:tc>
          <w:tcPr>
            <w:tcW w:type="dxa" w:w="6091"/>
          </w:tcPr>
          <w:p w14:paraId="00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6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21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9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0809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План по реализации </w:t>
      </w:r>
      <w:r>
        <w:rPr>
          <w:rFonts w:ascii="Times New Roman" w:hAnsi="Times New Roman"/>
        </w:rPr>
        <w:t>комплекса процессных мероприятий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0909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356"/>
        <w:gridCol w:w="5225"/>
        <w:gridCol w:w="3843"/>
        <w:gridCol w:w="2225"/>
        <w:gridCol w:w="2246"/>
      </w:tblGrid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0B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89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9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</w:rPr>
              <w:t>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9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9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</w:t>
            </w:r>
            <w:r>
              <w:rPr>
                <w:rFonts w:ascii="Times New Roman" w:hAnsi="Times New Roman"/>
              </w:rPr>
              <w:t>енная смета</w:t>
            </w:r>
            <w:r>
              <w:rPr>
                <w:rFonts w:ascii="Times New Roman" w:hAnsi="Times New Roman"/>
              </w:rPr>
              <w:t xml:space="preserve"> расходов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Смета 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</w:t>
            </w:r>
            <w:r>
              <w:rPr>
                <w:rFonts w:ascii="Times New Roman" w:hAnsi="Times New Roman"/>
              </w:rPr>
              <w:t xml:space="preserve"> Отчет об использовании денежных средств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</w:tbl>
    <w:p w14:paraId="2509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2609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2709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2809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«Обеспечение функционирования Управления по физической культуре и спорту администрации города Магнитогорска»</w:t>
      </w:r>
    </w:p>
    <w:p w14:paraId="2909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2A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9"/>
        <w:gridCol w:w="5959"/>
      </w:tblGrid>
      <w:tr>
        <w:tc>
          <w:tcPr>
            <w:tcW w:type="dxa" w:w="8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2D09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2E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2F09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4"/>
        <w:gridCol w:w="1600"/>
        <w:gridCol w:w="3183"/>
        <w:gridCol w:w="1108"/>
        <w:gridCol w:w="1161"/>
        <w:gridCol w:w="1033"/>
        <w:gridCol w:w="866"/>
        <w:gridCol w:w="860"/>
        <w:gridCol w:w="860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обеспечение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51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5209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5309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55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5A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9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9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9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обеспечение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9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9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86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8709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8809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62"/>
        <w:gridCol w:w="2632"/>
        <w:gridCol w:w="1197"/>
        <w:gridCol w:w="2367"/>
        <w:gridCol w:w="2033"/>
        <w:gridCol w:w="1049"/>
        <w:gridCol w:w="1134"/>
        <w:gridCol w:w="1134"/>
        <w:gridCol w:w="1043"/>
        <w:gridCol w:w="1120"/>
        <w:gridCol w:w="1133"/>
      </w:tblGrid>
      <w:tr>
        <w:tc>
          <w:tcPr>
            <w:tcW w:type="dxa" w:w="4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3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0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61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30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бюджетных средств, направленных на обеспечение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13 719,07</w:t>
            </w:r>
          </w:p>
        </w:tc>
        <w:tc>
          <w:tcPr>
            <w:tcW w:type="dxa" w:w="10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23 201,40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16 759,54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16 759,54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16 759,54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16 759,54</w:t>
            </w:r>
          </w:p>
        </w:tc>
      </w:tr>
    </w:tbl>
    <w:p w14:paraId="AC09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5807"/>
        <w:gridCol w:w="1417"/>
        <w:gridCol w:w="1134"/>
        <w:gridCol w:w="1276"/>
        <w:gridCol w:w="1134"/>
        <w:gridCol w:w="1134"/>
        <w:gridCol w:w="1131"/>
        <w:gridCol w:w="1875"/>
      </w:tblGrid>
      <w:tr>
        <w:tc>
          <w:tcPr>
            <w:tcW w:type="dxa" w:w="5807"/>
            <w:vMerge w:val="restart"/>
          </w:tcPr>
          <w:p w14:paraId="AD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417"/>
          </w:tcPr>
          <w:p w14:paraId="AE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684"/>
            <w:gridSpan w:val="6"/>
          </w:tcPr>
          <w:p w14:paraId="AF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807"/>
            <w:gridSpan w:val="1"/>
            <w:vMerge w:val="continue"/>
          </w:tcPr>
          <w:p/>
        </w:tc>
        <w:tc>
          <w:tcPr>
            <w:tcW w:type="dxa" w:w="1417"/>
            <w:vAlign w:val="center"/>
          </w:tcPr>
          <w:p w14:paraId="B0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vAlign w:val="center"/>
          </w:tcPr>
          <w:p w14:paraId="B1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vAlign w:val="center"/>
          </w:tcPr>
          <w:p w14:paraId="B2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vAlign w:val="center"/>
          </w:tcPr>
          <w:p w14:paraId="B3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</w:tcPr>
          <w:p w14:paraId="B4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1"/>
          </w:tcPr>
          <w:p w14:paraId="B5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875"/>
          </w:tcPr>
          <w:p w14:paraId="B6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807"/>
            <w:vAlign w:val="center"/>
          </w:tcPr>
          <w:p w14:paraId="B7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7"/>
            <w:vAlign w:val="center"/>
          </w:tcPr>
          <w:p w14:paraId="B8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vAlign w:val="center"/>
          </w:tcPr>
          <w:p w14:paraId="B9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vAlign w:val="center"/>
          </w:tcPr>
          <w:p w14:paraId="BA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vAlign w:val="center"/>
          </w:tcPr>
          <w:p w14:paraId="BB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</w:tcPr>
          <w:p w14:paraId="BC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1"/>
          </w:tcPr>
          <w:p w14:paraId="BD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875"/>
          </w:tcPr>
          <w:p w14:paraId="BE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342"/>
        </w:trPr>
        <w:tc>
          <w:tcPr>
            <w:tcW w:type="dxa" w:w="5807"/>
          </w:tcPr>
          <w:p w14:paraId="BF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23 201,40  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87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106 999,10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>
        <w:tc>
          <w:tcPr>
            <w:tcW w:type="dxa" w:w="5807"/>
          </w:tcPr>
          <w:p w14:paraId="C7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8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807"/>
          </w:tcPr>
          <w:p w14:paraId="CF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8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807"/>
          </w:tcPr>
          <w:p w14:paraId="D7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23 201,40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8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106 999,10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>
        <w:tc>
          <w:tcPr>
            <w:tcW w:type="dxa" w:w="5807"/>
          </w:tcPr>
          <w:p w14:paraId="DF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8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E7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E8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План по реализации </w:t>
      </w:r>
      <w:r>
        <w:rPr>
          <w:rFonts w:ascii="Times New Roman" w:hAnsi="Times New Roman"/>
        </w:rPr>
        <w:t>комплекса процессных мероприятий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E909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356"/>
        <w:gridCol w:w="5225"/>
        <w:gridCol w:w="3843"/>
        <w:gridCol w:w="2225"/>
        <w:gridCol w:w="2246"/>
      </w:tblGrid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EB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C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E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89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9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9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9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Утвержденная смета расходов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Смета 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Отчет об использовании денежных средств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050A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060A0000">
      <w:pPr>
        <w:widowControl w:val="0"/>
        <w:spacing w:after="0" w:line="240" w:lineRule="auto"/>
        <w:ind/>
        <w:rPr>
          <w:rFonts w:ascii="Times New Roman" w:hAnsi="Times New Roman"/>
        </w:rPr>
      </w:pPr>
    </w:p>
    <w:sectPr>
      <w:headerReference r:id="rId1" w:type="default"/>
      <w:footerReference r:id="rId2" w:type="first"/>
      <w:pgSz w:h="11905" w:orient="landscape" w:w="16837"/>
      <w:pgMar w:bottom="851" w:footer="720" w:gutter="0" w:header="720" w:left="1100" w:right="799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center"/>
    </w:pPr>
  </w:p>
  <w:p w14:paraId="04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Текст (справка)"/>
    <w:basedOn w:val="Style_6"/>
    <w:next w:val="Style_6"/>
    <w:link w:val="Style_7_ch"/>
    <w:pPr>
      <w:widowControl w:val="0"/>
      <w:spacing w:after="0" w:line="240" w:lineRule="auto"/>
      <w:ind w:firstLine="0" w:left="170" w:right="170"/>
    </w:pPr>
    <w:rPr>
      <w:rFonts w:ascii="Arial" w:hAnsi="Arial"/>
      <w:sz w:val="24"/>
    </w:rPr>
  </w:style>
  <w:style w:styleId="Style_7_ch" w:type="character">
    <w:name w:val="Текст (справка)"/>
    <w:basedOn w:val="Style_6_ch"/>
    <w:link w:val="Style_7"/>
    <w:rPr>
      <w:rFonts w:ascii="Arial" w:hAnsi="Arial"/>
      <w:sz w:val="24"/>
    </w:rPr>
  </w:style>
  <w:style w:styleId="Style_8" w:type="paragraph">
    <w:name w:val="List Paragraph"/>
    <w:basedOn w:val="Style_6"/>
    <w:link w:val="Style_8_ch"/>
    <w:pPr>
      <w:widowControl w:val="0"/>
      <w:spacing w:after="0" w:line="240" w:lineRule="auto"/>
      <w:ind w:firstLine="720" w:left="720"/>
      <w:contextualSpacing w:val="1"/>
      <w:jc w:val="both"/>
    </w:pPr>
    <w:rPr>
      <w:rFonts w:ascii="Arial" w:hAnsi="Arial"/>
      <w:sz w:val="24"/>
    </w:rPr>
  </w:style>
  <w:style w:styleId="Style_8_ch" w:type="character">
    <w:name w:val="List Paragraph"/>
    <w:basedOn w:val="Style_6_ch"/>
    <w:link w:val="Style_8"/>
    <w:rPr>
      <w:rFonts w:ascii="Arial" w:hAnsi="Arial"/>
      <w:sz w:val="24"/>
    </w:rPr>
  </w:style>
  <w:style w:styleId="Style_9" w:type="paragraph">
    <w:name w:val="toc 2"/>
    <w:next w:val="Style_6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6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ConsPlusTitle"/>
    <w:link w:val="Style_11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11_ch" w:type="character">
    <w:name w:val="ConsPlusTitle"/>
    <w:link w:val="Style_11"/>
    <w:rPr>
      <w:rFonts w:ascii="Calibri" w:hAnsi="Calibri"/>
      <w:b w:val="1"/>
    </w:rPr>
  </w:style>
  <w:style w:styleId="Style_12" w:type="paragraph">
    <w:name w:val="toc 6"/>
    <w:next w:val="Style_6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6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14" w:type="paragraph">
    <w:name w:val="Emphasis"/>
    <w:basedOn w:val="Style_15"/>
    <w:link w:val="Style_14_ch"/>
    <w:rPr>
      <w:i w:val="1"/>
    </w:rPr>
  </w:style>
  <w:style w:styleId="Style_14_ch" w:type="character">
    <w:name w:val="Emphasis"/>
    <w:basedOn w:val="Style_15_ch"/>
    <w:link w:val="Style_14"/>
    <w:rPr>
      <w:i w:val="1"/>
    </w:rPr>
  </w:style>
  <w:style w:styleId="Style_16" w:type="paragraph">
    <w:name w:val="Подзаголовок для информации об изменениях"/>
    <w:basedOn w:val="Style_17"/>
    <w:next w:val="Style_6"/>
    <w:link w:val="Style_16_ch"/>
    <w:rPr>
      <w:b w:val="1"/>
    </w:rPr>
  </w:style>
  <w:style w:styleId="Style_16_ch" w:type="character">
    <w:name w:val="Подзаголовок для информации об изменениях"/>
    <w:basedOn w:val="Style_17_ch"/>
    <w:link w:val="Style_16"/>
    <w:rPr>
      <w:b w:val="1"/>
    </w:rPr>
  </w:style>
  <w:style w:styleId="Style_18" w:type="paragraph">
    <w:name w:val="End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Endnote"/>
    <w:link w:val="Style_18"/>
    <w:rPr>
      <w:rFonts w:ascii="XO Thames" w:hAnsi="XO Thames"/>
      <w:sz w:val="22"/>
    </w:rPr>
  </w:style>
  <w:style w:styleId="Style_19" w:type="paragraph">
    <w:name w:val="heading 3"/>
    <w:next w:val="Style_6"/>
    <w:link w:val="Style_1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link w:val="Style_19"/>
    <w:rPr>
      <w:rFonts w:ascii="XO Thames" w:hAnsi="XO Thames"/>
      <w:b w:val="1"/>
      <w:sz w:val="26"/>
    </w:rPr>
  </w:style>
  <w:style w:styleId="Style_20" w:type="paragraph">
    <w:name w:val="Цветовое выделение для Текст"/>
    <w:link w:val="Style_20_ch"/>
  </w:style>
  <w:style w:styleId="Style_20_ch" w:type="character">
    <w:name w:val="Цветовое выделение для Текст"/>
    <w:link w:val="Style_20"/>
  </w:style>
  <w:style w:styleId="Style_2" w:type="paragraph">
    <w:name w:val="Нижний колонтитул1"/>
    <w:basedOn w:val="Style_6"/>
    <w:next w:val="Style_21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Нижний колонтитул1"/>
    <w:basedOn w:val="Style_6_ch"/>
    <w:link w:val="Style_2"/>
  </w:style>
  <w:style w:styleId="Style_22" w:type="paragraph">
    <w:name w:val="Информация об изменениях"/>
    <w:basedOn w:val="Style_17"/>
    <w:next w:val="Style_6"/>
    <w:link w:val="Style_22_ch"/>
    <w:pPr>
      <w:spacing w:before="180"/>
      <w:ind w:firstLine="0" w:left="360" w:right="360"/>
    </w:pPr>
    <w:rPr>
      <w:shd w:fill="EAEFED" w:val="clear"/>
    </w:rPr>
  </w:style>
  <w:style w:styleId="Style_22_ch" w:type="character">
    <w:name w:val="Информация об изменениях"/>
    <w:basedOn w:val="Style_17_ch"/>
    <w:link w:val="Style_22"/>
    <w:rPr>
      <w:shd w:fill="EAEFED" w:val="clear"/>
    </w:rPr>
  </w:style>
  <w:style w:styleId="Style_23" w:type="paragraph">
    <w:name w:val="annotation text"/>
    <w:basedOn w:val="Style_6"/>
    <w:link w:val="Style_23_ch"/>
    <w:pPr>
      <w:spacing w:line="240" w:lineRule="auto"/>
      <w:ind/>
    </w:pPr>
    <w:rPr>
      <w:sz w:val="20"/>
    </w:rPr>
  </w:style>
  <w:style w:styleId="Style_23_ch" w:type="character">
    <w:name w:val="annotation text"/>
    <w:basedOn w:val="Style_6_ch"/>
    <w:link w:val="Style_23"/>
    <w:rPr>
      <w:sz w:val="20"/>
    </w:rPr>
  </w:style>
  <w:style w:styleId="Style_17" w:type="paragraph">
    <w:name w:val="Текст информации об изменениях"/>
    <w:basedOn w:val="Style_6"/>
    <w:next w:val="Style_6"/>
    <w:link w:val="Style_17_ch"/>
    <w:pPr>
      <w:widowControl w:val="0"/>
      <w:spacing w:after="0" w:line="240" w:lineRule="auto"/>
      <w:ind w:firstLine="720" w:left="0"/>
      <w:jc w:val="both"/>
    </w:pPr>
    <w:rPr>
      <w:rFonts w:ascii="Arial" w:hAnsi="Arial"/>
      <w:color w:val="353842"/>
      <w:sz w:val="18"/>
    </w:rPr>
  </w:style>
  <w:style w:styleId="Style_17_ch" w:type="character">
    <w:name w:val="Текст информации об изменениях"/>
    <w:basedOn w:val="Style_6_ch"/>
    <w:link w:val="Style_17"/>
    <w:rPr>
      <w:rFonts w:ascii="Arial" w:hAnsi="Arial"/>
      <w:color w:val="353842"/>
      <w:sz w:val="18"/>
    </w:rPr>
  </w:style>
  <w:style w:styleId="Style_24" w:type="paragraph">
    <w:name w:val="Информация об изменениях документа"/>
    <w:basedOn w:val="Style_25"/>
    <w:next w:val="Style_6"/>
    <w:link w:val="Style_24_ch"/>
    <w:rPr>
      <w:i w:val="1"/>
    </w:rPr>
  </w:style>
  <w:style w:styleId="Style_24_ch" w:type="character">
    <w:name w:val="Информация об изменениях документа"/>
    <w:basedOn w:val="Style_25_ch"/>
    <w:link w:val="Style_24"/>
    <w:rPr>
      <w:i w:val="1"/>
    </w:rPr>
  </w:style>
  <w:style w:styleId="Style_26" w:type="paragraph">
    <w:name w:val="annotation reference"/>
    <w:basedOn w:val="Style_15"/>
    <w:link w:val="Style_26_ch"/>
    <w:rPr>
      <w:sz w:val="16"/>
    </w:rPr>
  </w:style>
  <w:style w:styleId="Style_26_ch" w:type="character">
    <w:name w:val="annotation reference"/>
    <w:basedOn w:val="Style_15_ch"/>
    <w:link w:val="Style_26"/>
    <w:rPr>
      <w:sz w:val="16"/>
    </w:rPr>
  </w:style>
  <w:style w:styleId="Style_27" w:type="paragraph">
    <w:name w:val="toc 3"/>
    <w:next w:val="Style_6"/>
    <w:link w:val="Style_2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7_ch" w:type="character">
    <w:name w:val="toc 3"/>
    <w:link w:val="Style_27"/>
    <w:rPr>
      <w:rFonts w:ascii="XO Thames" w:hAnsi="XO Thames"/>
      <w:sz w:val="28"/>
    </w:rPr>
  </w:style>
  <w:style w:styleId="Style_25" w:type="paragraph">
    <w:name w:val="Комментарий"/>
    <w:basedOn w:val="Style_7"/>
    <w:next w:val="Style_6"/>
    <w:link w:val="Style_25_ch"/>
    <w:pPr>
      <w:spacing w:before="75"/>
      <w:ind w:right="0"/>
      <w:jc w:val="both"/>
    </w:pPr>
    <w:rPr>
      <w:color w:val="353842"/>
      <w:shd w:fill="F0F0F0" w:val="clear"/>
    </w:rPr>
  </w:style>
  <w:style w:styleId="Style_25_ch" w:type="character">
    <w:name w:val="Комментарий"/>
    <w:basedOn w:val="Style_7_ch"/>
    <w:link w:val="Style_25"/>
    <w:rPr>
      <w:color w:val="353842"/>
      <w:shd w:fill="F0F0F0" w:val="clear"/>
    </w:rPr>
  </w:style>
  <w:style w:styleId="Style_21" w:type="paragraph">
    <w:name w:val="footer"/>
    <w:basedOn w:val="Style_6"/>
    <w:link w:val="Style_2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1_ch" w:type="character">
    <w:name w:val="footer"/>
    <w:basedOn w:val="Style_6_ch"/>
    <w:link w:val="Style_21"/>
  </w:style>
  <w:style w:styleId="Style_4" w:type="paragraph">
    <w:name w:val="ConsPlusNormal"/>
    <w:link w:val="Style_4_ch"/>
    <w:pPr>
      <w:widowControl w:val="0"/>
      <w:spacing w:after="0" w:line="240" w:lineRule="auto"/>
      <w:ind/>
    </w:pPr>
    <w:rPr>
      <w:rFonts w:ascii="Calibri" w:hAnsi="Calibri"/>
    </w:rPr>
  </w:style>
  <w:style w:styleId="Style_4_ch" w:type="character">
    <w:name w:val="ConsPlusNormal"/>
    <w:link w:val="Style_4"/>
    <w:rPr>
      <w:rFonts w:ascii="Calibri" w:hAnsi="Calibri"/>
    </w:rPr>
  </w:style>
  <w:style w:styleId="Style_28" w:type="paragraph">
    <w:name w:val="Balloon Text"/>
    <w:basedOn w:val="Style_6"/>
    <w:link w:val="Style_28_ch"/>
    <w:pPr>
      <w:widowControl w:val="0"/>
      <w:spacing w:after="0" w:line="240" w:lineRule="auto"/>
      <w:ind w:firstLine="720" w:left="0"/>
      <w:jc w:val="both"/>
    </w:pPr>
    <w:rPr>
      <w:rFonts w:ascii="Segoe UI" w:hAnsi="Segoe UI"/>
      <w:sz w:val="18"/>
    </w:rPr>
  </w:style>
  <w:style w:styleId="Style_28_ch" w:type="character">
    <w:name w:val="Balloon Text"/>
    <w:basedOn w:val="Style_6_ch"/>
    <w:link w:val="Style_28"/>
    <w:rPr>
      <w:rFonts w:ascii="Segoe UI" w:hAnsi="Segoe UI"/>
      <w:sz w:val="18"/>
    </w:rPr>
  </w:style>
  <w:style w:styleId="Style_29" w:type="paragraph">
    <w:name w:val="heading 5"/>
    <w:next w:val="Style_6"/>
    <w:link w:val="Style_2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9_ch" w:type="character">
    <w:name w:val="heading 5"/>
    <w:link w:val="Style_29"/>
    <w:rPr>
      <w:rFonts w:ascii="XO Thames" w:hAnsi="XO Thames"/>
      <w:b w:val="1"/>
      <w:sz w:val="22"/>
    </w:rPr>
  </w:style>
  <w:style w:styleId="Style_30" w:type="paragraph">
    <w:name w:val="heading 1"/>
    <w:basedOn w:val="Style_6"/>
    <w:next w:val="Style_6"/>
    <w:link w:val="Style_30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30_ch" w:type="character">
    <w:name w:val="heading 1"/>
    <w:basedOn w:val="Style_6_ch"/>
    <w:link w:val="Style_30"/>
    <w:rPr>
      <w:rFonts w:ascii="Arial" w:hAnsi="Arial"/>
      <w:b w:val="1"/>
      <w:color w:val="26282F"/>
      <w:sz w:val="24"/>
    </w:rPr>
  </w:style>
  <w:style w:styleId="Style_31" w:type="paragraph">
    <w:name w:val="annotation subject"/>
    <w:basedOn w:val="Style_23"/>
    <w:next w:val="Style_23"/>
    <w:link w:val="Style_31_ch"/>
    <w:rPr>
      <w:b w:val="1"/>
    </w:rPr>
  </w:style>
  <w:style w:styleId="Style_31_ch" w:type="character">
    <w:name w:val="annotation subject"/>
    <w:basedOn w:val="Style_23_ch"/>
    <w:link w:val="Style_31"/>
    <w:rPr>
      <w:b w:val="1"/>
    </w:rPr>
  </w:style>
  <w:style w:styleId="Style_32" w:type="paragraph">
    <w:name w:val="Hyperlink"/>
    <w:link w:val="Style_32_ch"/>
    <w:rPr>
      <w:color w:val="0000FF"/>
      <w:u w:val="single"/>
    </w:rPr>
  </w:style>
  <w:style w:styleId="Style_32_ch" w:type="character">
    <w:name w:val="Hyperlink"/>
    <w:link w:val="Style_32"/>
    <w:rPr>
      <w:color w:val="0000FF"/>
      <w:u w:val="single"/>
    </w:rPr>
  </w:style>
  <w:style w:styleId="Style_33" w:type="paragraph">
    <w:name w:val="Footnote"/>
    <w:link w:val="Style_33_ch"/>
    <w:pPr>
      <w:ind w:firstLine="851" w:left="0"/>
      <w:jc w:val="both"/>
    </w:pPr>
    <w:rPr>
      <w:rFonts w:ascii="XO Thames" w:hAnsi="XO Thames"/>
      <w:sz w:val="22"/>
    </w:rPr>
  </w:style>
  <w:style w:styleId="Style_33_ch" w:type="character">
    <w:name w:val="Footnote"/>
    <w:link w:val="Style_33"/>
    <w:rPr>
      <w:rFonts w:ascii="XO Thames" w:hAnsi="XO Thames"/>
      <w:sz w:val="22"/>
    </w:rPr>
  </w:style>
  <w:style w:styleId="Style_34" w:type="paragraph">
    <w:name w:val="toc 1"/>
    <w:next w:val="Style_6"/>
    <w:link w:val="Style_3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4_ch" w:type="character">
    <w:name w:val="toc 1"/>
    <w:link w:val="Style_34"/>
    <w:rPr>
      <w:rFonts w:ascii="XO Thames" w:hAnsi="XO Thames"/>
      <w:b w:val="1"/>
      <w:sz w:val="28"/>
    </w:rPr>
  </w:style>
  <w:style w:styleId="Style_35" w:type="paragraph">
    <w:name w:val="Гипертекстовая ссылка"/>
    <w:basedOn w:val="Style_36"/>
    <w:link w:val="Style_35_ch"/>
    <w:rPr>
      <w:b w:val="0"/>
      <w:color w:val="106BBE"/>
    </w:rPr>
  </w:style>
  <w:style w:styleId="Style_35_ch" w:type="character">
    <w:name w:val="Гипертекстовая ссылка"/>
    <w:basedOn w:val="Style_36_ch"/>
    <w:link w:val="Style_35"/>
    <w:rPr>
      <w:b w:val="0"/>
      <w:color w:val="106BBE"/>
    </w:rPr>
  </w:style>
  <w:style w:styleId="Style_37" w:type="paragraph">
    <w:name w:val="Header and Footer"/>
    <w:link w:val="Style_37_ch"/>
    <w:pPr>
      <w:spacing w:line="240" w:lineRule="auto"/>
      <w:ind/>
      <w:jc w:val="both"/>
    </w:pPr>
    <w:rPr>
      <w:rFonts w:ascii="XO Thames" w:hAnsi="XO Thames"/>
      <w:sz w:val="28"/>
    </w:rPr>
  </w:style>
  <w:style w:styleId="Style_37_ch" w:type="character">
    <w:name w:val="Header and Footer"/>
    <w:link w:val="Style_37"/>
    <w:rPr>
      <w:rFonts w:ascii="XO Thames" w:hAnsi="XO Thames"/>
      <w:sz w:val="28"/>
    </w:rPr>
  </w:style>
  <w:style w:styleId="Style_38" w:type="paragraph">
    <w:name w:val="page number"/>
    <w:basedOn w:val="Style_15"/>
    <w:link w:val="Style_38_ch"/>
  </w:style>
  <w:style w:styleId="Style_38_ch" w:type="character">
    <w:name w:val="page number"/>
    <w:basedOn w:val="Style_15_ch"/>
    <w:link w:val="Style_38"/>
  </w:style>
  <w:style w:styleId="Style_39" w:type="paragraph">
    <w:name w:val="toc 9"/>
    <w:next w:val="Style_6"/>
    <w:link w:val="Style_3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9_ch" w:type="character">
    <w:name w:val="toc 9"/>
    <w:link w:val="Style_39"/>
    <w:rPr>
      <w:rFonts w:ascii="XO Thames" w:hAnsi="XO Thames"/>
      <w:sz w:val="28"/>
    </w:rPr>
  </w:style>
  <w:style w:styleId="Style_40" w:type="paragraph">
    <w:name w:val="Прижатый влево"/>
    <w:basedOn w:val="Style_6"/>
    <w:next w:val="Style_6"/>
    <w:link w:val="Style_40_ch"/>
    <w:pPr>
      <w:widowControl w:val="0"/>
      <w:spacing w:after="0" w:line="240" w:lineRule="auto"/>
      <w:ind/>
    </w:pPr>
    <w:rPr>
      <w:rFonts w:ascii="Arial" w:hAnsi="Arial"/>
      <w:sz w:val="24"/>
    </w:rPr>
  </w:style>
  <w:style w:styleId="Style_40_ch" w:type="character">
    <w:name w:val="Прижатый влево"/>
    <w:basedOn w:val="Style_6_ch"/>
    <w:link w:val="Style_40"/>
    <w:rPr>
      <w:rFonts w:ascii="Arial" w:hAnsi="Arial"/>
      <w:sz w:val="24"/>
    </w:rPr>
  </w:style>
  <w:style w:styleId="Style_41" w:type="paragraph">
    <w:name w:val="toc 8"/>
    <w:next w:val="Style_6"/>
    <w:link w:val="Style_4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1_ch" w:type="character">
    <w:name w:val="toc 8"/>
    <w:link w:val="Style_41"/>
    <w:rPr>
      <w:rFonts w:ascii="XO Thames" w:hAnsi="XO Thames"/>
      <w:sz w:val="28"/>
    </w:rPr>
  </w:style>
  <w:style w:styleId="Style_42" w:type="paragraph">
    <w:name w:val="Верхний колонтитул1"/>
    <w:basedOn w:val="Style_6"/>
    <w:next w:val="Style_1"/>
    <w:link w:val="Style_4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42_ch" w:type="character">
    <w:name w:val="Верхний колонтитул1"/>
    <w:basedOn w:val="Style_6_ch"/>
    <w:link w:val="Style_42"/>
  </w:style>
  <w:style w:styleId="Style_43" w:type="paragraph">
    <w:name w:val="toc 5"/>
    <w:next w:val="Style_6"/>
    <w:link w:val="Style_4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3_ch" w:type="character">
    <w:name w:val="toc 5"/>
    <w:link w:val="Style_43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44" w:type="paragraph">
    <w:name w:val="Subtitle"/>
    <w:next w:val="Style_6"/>
    <w:link w:val="Style_4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4_ch" w:type="character">
    <w:name w:val="Subtitle"/>
    <w:link w:val="Style_44"/>
    <w:rPr>
      <w:rFonts w:ascii="XO Thames" w:hAnsi="XO Thames"/>
      <w:i w:val="1"/>
      <w:sz w:val="24"/>
    </w:rPr>
  </w:style>
  <w:style w:styleId="Style_45" w:type="paragraph">
    <w:name w:val="Нормальный (таблица)"/>
    <w:basedOn w:val="Style_6"/>
    <w:next w:val="Style_6"/>
    <w:link w:val="Style_45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45_ch" w:type="character">
    <w:name w:val="Нормальный (таблица)"/>
    <w:basedOn w:val="Style_6_ch"/>
    <w:link w:val="Style_45"/>
    <w:rPr>
      <w:rFonts w:ascii="Arial" w:hAnsi="Arial"/>
      <w:sz w:val="24"/>
    </w:rPr>
  </w:style>
  <w:style w:styleId="Style_46" w:type="paragraph">
    <w:name w:val="Таблицы (моноширинный)"/>
    <w:basedOn w:val="Style_6"/>
    <w:next w:val="Style_6"/>
    <w:link w:val="Style_46_ch"/>
    <w:pPr>
      <w:widowControl w:val="0"/>
      <w:spacing w:after="0" w:line="240" w:lineRule="auto"/>
      <w:ind/>
    </w:pPr>
    <w:rPr>
      <w:rFonts w:ascii="Courier New" w:hAnsi="Courier New"/>
      <w:sz w:val="24"/>
    </w:rPr>
  </w:style>
  <w:style w:styleId="Style_46_ch" w:type="character">
    <w:name w:val="Таблицы (моноширинный)"/>
    <w:basedOn w:val="Style_6_ch"/>
    <w:link w:val="Style_46"/>
    <w:rPr>
      <w:rFonts w:ascii="Courier New" w:hAnsi="Courier New"/>
      <w:sz w:val="24"/>
    </w:rPr>
  </w:style>
  <w:style w:styleId="Style_47" w:type="paragraph">
    <w:name w:val="Title"/>
    <w:next w:val="Style_6"/>
    <w:link w:val="Style_4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7_ch" w:type="character">
    <w:name w:val="Title"/>
    <w:link w:val="Style_47"/>
    <w:rPr>
      <w:rFonts w:ascii="XO Thames" w:hAnsi="XO Thames"/>
      <w:b w:val="1"/>
      <w:caps w:val="1"/>
      <w:sz w:val="40"/>
    </w:rPr>
  </w:style>
  <w:style w:styleId="Style_48" w:type="paragraph">
    <w:name w:val="heading 4"/>
    <w:next w:val="Style_6"/>
    <w:link w:val="Style_4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8_ch" w:type="character">
    <w:name w:val="heading 4"/>
    <w:link w:val="Style_48"/>
    <w:rPr>
      <w:rFonts w:ascii="XO Thames" w:hAnsi="XO Thames"/>
      <w:b w:val="1"/>
      <w:sz w:val="24"/>
    </w:rPr>
  </w:style>
  <w:style w:styleId="Style_49" w:type="paragraph">
    <w:name w:val="heading 2"/>
    <w:next w:val="Style_6"/>
    <w:link w:val="Style_4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9_ch" w:type="character">
    <w:name w:val="heading 2"/>
    <w:link w:val="Style_49"/>
    <w:rPr>
      <w:rFonts w:ascii="XO Thames" w:hAnsi="XO Thames"/>
      <w:b w:val="1"/>
      <w:sz w:val="28"/>
    </w:rPr>
  </w:style>
  <w:style w:styleId="Style_36" w:type="paragraph">
    <w:name w:val="Цветовое выделение"/>
    <w:link w:val="Style_36_ch"/>
    <w:rPr>
      <w:b w:val="1"/>
      <w:color w:val="26282F"/>
    </w:rPr>
  </w:style>
  <w:style w:styleId="Style_36_ch" w:type="character">
    <w:name w:val="Цветовое выделение"/>
    <w:link w:val="Style_36"/>
    <w:rPr>
      <w:b w:val="1"/>
      <w:color w:val="26282F"/>
    </w:rPr>
  </w:style>
  <w:style w:styleId="Style_50" w:type="table">
    <w:name w:val="Сетка таблицы1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2025-06-03T08:04:54Z</dcterms:modified>
</cp:coreProperties>
</file>