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pStyle w:val="Style_2"/>
        <w:pageBreakBefore w:val="1"/>
        <w:ind w:firstLine="9923" w:left="0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 xml:space="preserve">№ </w:t>
      </w:r>
      <w:r>
        <w:rPr>
          <w:rFonts w:ascii="Times New Roman" w:hAnsi="Times New Roman"/>
        </w:rPr>
        <w:t>1</w:t>
      </w:r>
    </w:p>
    <w:p w14:paraId="08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9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A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от 12.05.2025 № 4128-П</w:t>
      </w:r>
    </w:p>
    <w:p w14:paraId="0B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</w:p>
    <w:p w14:paraId="0C000000">
      <w:pPr>
        <w:widowControl w:val="0"/>
        <w:spacing w:after="0" w:line="240" w:lineRule="auto"/>
        <w:ind w:firstLine="9923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№1</w:t>
      </w:r>
    </w:p>
    <w:p w14:paraId="0D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E000000">
      <w:pPr>
        <w:pStyle w:val="Style_2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«Развитие городского пассажирского транспорта</w:t>
      </w:r>
    </w:p>
    <w:p w14:paraId="0F000000">
      <w:pPr>
        <w:pStyle w:val="Style_2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Магнитогорске» на 202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-2030 годы</w:t>
      </w:r>
    </w:p>
    <w:p w14:paraId="10000000">
      <w:pPr>
        <w:pStyle w:val="Style_2"/>
        <w:rPr>
          <w:rFonts w:ascii="Times New Roman" w:hAnsi="Times New Roman"/>
        </w:rPr>
      </w:pPr>
    </w:p>
    <w:p w14:paraId="11000000">
      <w:pPr>
        <w:pStyle w:val="Style_2"/>
        <w:ind/>
        <w:jc w:val="right"/>
        <w:rPr>
          <w:rFonts w:ascii="Times New Roman" w:hAnsi="Times New Roman"/>
        </w:rPr>
      </w:pPr>
    </w:p>
    <w:p w14:paraId="12000000">
      <w:pPr>
        <w:pStyle w:val="Style_2"/>
        <w:ind/>
        <w:jc w:val="center"/>
        <w:rPr>
          <w:rFonts w:ascii="Times New Roman" w:hAnsi="Times New Roman"/>
        </w:rPr>
      </w:pPr>
      <w:bookmarkStart w:id="1" w:name="P491"/>
      <w:bookmarkEnd w:id="1"/>
      <w:r>
        <w:rPr>
          <w:rFonts w:ascii="Times New Roman" w:hAnsi="Times New Roman"/>
        </w:rPr>
        <w:t>ПАСПОРТ</w:t>
      </w:r>
    </w:p>
    <w:p w14:paraId="13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</w:t>
      </w:r>
    </w:p>
    <w:p w14:paraId="14000000">
      <w:pPr>
        <w:spacing w:after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  <w:color w:val="000000"/>
          <w:sz w:val="24"/>
        </w:rPr>
        <w:t>Развитие городского пассажирского транспорта в городе Магнитогорск</w:t>
      </w:r>
      <w:r>
        <w:rPr>
          <w:rFonts w:ascii="Times New Roman" w:hAnsi="Times New Roman"/>
          <w:color w:val="000000"/>
          <w:sz w:val="24"/>
        </w:rPr>
        <w:t>»</w:t>
      </w:r>
      <w:r>
        <w:rPr>
          <w:rFonts w:ascii="Times New Roman" w:hAnsi="Times New Roman"/>
          <w:sz w:val="24"/>
        </w:rPr>
        <w:t xml:space="preserve"> на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-20</w:t>
      </w:r>
      <w:r>
        <w:rPr>
          <w:rFonts w:ascii="Times New Roman" w:hAnsi="Times New Roman"/>
          <w:sz w:val="24"/>
        </w:rPr>
        <w:t>30</w:t>
      </w:r>
      <w:r>
        <w:rPr>
          <w:rFonts w:ascii="Times New Roman" w:hAnsi="Times New Roman"/>
          <w:sz w:val="24"/>
        </w:rPr>
        <w:t xml:space="preserve"> годы</w:t>
      </w:r>
    </w:p>
    <w:p w14:paraId="15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(наименование)</w:t>
      </w:r>
    </w:p>
    <w:p w14:paraId="16000000">
      <w:pPr>
        <w:pStyle w:val="Style_2"/>
        <w:ind/>
        <w:jc w:val="both"/>
        <w:rPr>
          <w:rFonts w:ascii="Times New Roman" w:hAnsi="Times New Roman"/>
        </w:rPr>
      </w:pPr>
    </w:p>
    <w:p w14:paraId="1700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8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1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20"/>
        <w:gridCol w:w="2183"/>
        <w:gridCol w:w="7513"/>
      </w:tblGrid>
      <w:tr>
        <w:tc>
          <w:tcPr>
            <w:tcW w:type="dxa" w:w="4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муниципальной программы</w:t>
            </w:r>
          </w:p>
        </w:tc>
        <w:tc>
          <w:tcPr>
            <w:tcW w:type="dxa" w:w="969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</w:t>
            </w:r>
            <w:r>
              <w:rPr>
                <w:rFonts w:ascii="Times New Roman" w:hAnsi="Times New Roman"/>
              </w:rPr>
              <w:t xml:space="preserve"> главы города по городскому хозяйству </w:t>
            </w:r>
          </w:p>
        </w:tc>
      </w:tr>
      <w:tr>
        <w:tc>
          <w:tcPr>
            <w:tcW w:type="dxa" w:w="4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type="dxa" w:w="969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  <w:p w14:paraId="1D000000">
            <w:pPr>
              <w:pStyle w:val="Style_2"/>
              <w:ind/>
              <w:jc w:val="both"/>
              <w:rPr>
                <w:rFonts w:ascii="Times New Roman" w:hAnsi="Times New Roman"/>
                <w:strike w:val="1"/>
              </w:rPr>
            </w:pPr>
          </w:p>
        </w:tc>
      </w:tr>
      <w:tr>
        <w:tc>
          <w:tcPr>
            <w:tcW w:type="dxa" w:w="4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Сои</w:t>
            </w:r>
            <w:r>
              <w:rPr>
                <w:rFonts w:ascii="Times New Roman" w:hAnsi="Times New Roman"/>
              </w:rPr>
              <w:t>сполнители муниципальной программы</w:t>
            </w:r>
          </w:p>
        </w:tc>
        <w:tc>
          <w:tcPr>
            <w:tcW w:type="dxa" w:w="969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  <w:p w14:paraId="20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 реализации муниципальной программы</w:t>
            </w:r>
          </w:p>
        </w:tc>
        <w:tc>
          <w:tcPr>
            <w:tcW w:type="dxa" w:w="969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2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2025-2030 годы</w:t>
            </w:r>
          </w:p>
        </w:tc>
      </w:tr>
      <w:tr>
        <w:tc>
          <w:tcPr>
            <w:tcW w:type="dxa" w:w="48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Цели/задачи муниципальной программы</w:t>
            </w:r>
          </w:p>
        </w:tc>
        <w:tc>
          <w:tcPr>
            <w:tcW w:type="dxa" w:w="21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</w:t>
            </w:r>
            <w:r>
              <w:rPr>
                <w:rFonts w:ascii="Times New Roman" w:hAnsi="Times New Roman"/>
              </w:rPr>
              <w:t xml:space="preserve">1 </w:t>
            </w:r>
            <w:r>
              <w:rPr>
                <w:rFonts w:ascii="Times New Roman" w:hAnsi="Times New Roman"/>
              </w:rPr>
              <w:t>Обеспечение развития доступной, безопасной и надежной системы городского пассажирского транспорта общего пользования</w:t>
            </w:r>
          </w:p>
        </w:tc>
        <w:tc>
          <w:tcPr>
            <w:tcW w:type="dxa" w:w="7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</w:t>
            </w:r>
            <w:r>
              <w:rPr>
                <w:rFonts w:ascii="Times New Roman" w:hAnsi="Times New Roman"/>
              </w:rPr>
              <w:t xml:space="preserve">ача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Организация транспортного обслуживания населения по маршрутам регулярных перевозок по регулируемым и нерегулируемым тарифам автомобильным транспортом и наземным электрическим транспортом, в том числе льготных категорий граждан</w:t>
            </w:r>
          </w:p>
        </w:tc>
      </w:tr>
      <w:tr>
        <w:tc>
          <w:tcPr>
            <w:tcW w:type="dxa" w:w="4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Повышение доступности и качества услуг пассажирского транспорта для всех категорий граждан</w:t>
            </w:r>
          </w:p>
        </w:tc>
      </w:tr>
      <w:tr>
        <w:tc>
          <w:tcPr>
            <w:tcW w:type="dxa" w:w="4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3 Создание качественного общественного транспорта (трамвай, автобус), увеличение транспортного потенциала линий электротранспорта и автобусных маршрутов</w:t>
            </w:r>
          </w:p>
        </w:tc>
      </w:tr>
      <w:tr>
        <w:tc>
          <w:tcPr>
            <w:tcW w:type="dxa" w:w="4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4 Финансовое обеспечение выполнения государственных (муниципальных) функций </w:t>
            </w:r>
          </w:p>
        </w:tc>
      </w:tr>
      <w:tr>
        <w:tc>
          <w:tcPr>
            <w:tcW w:type="dxa" w:w="4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</w:t>
            </w:r>
            <w:r>
              <w:rPr>
                <w:rFonts w:ascii="Times New Roman" w:hAnsi="Times New Roman"/>
              </w:rPr>
              <w:t>е</w:t>
            </w:r>
          </w:p>
        </w:tc>
        <w:tc>
          <w:tcPr>
            <w:tcW w:type="dxa" w:w="969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Комплексное развитие городского пассажирского транспорта в городе Магнитогорске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4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Объемы </w:t>
            </w:r>
            <w:r>
              <w:rPr>
                <w:rFonts w:ascii="Times New Roman" w:hAnsi="Times New Roman"/>
              </w:rPr>
              <w:t>финансов</w:t>
            </w:r>
            <w:r>
              <w:rPr>
                <w:rFonts w:ascii="Times New Roman" w:hAnsi="Times New Roman"/>
              </w:rPr>
              <w:t>ого обеспечения за весь период реализации</w:t>
            </w:r>
            <w:r>
              <w:rPr>
                <w:rFonts w:ascii="Times New Roman" w:hAnsi="Times New Roman"/>
              </w:rPr>
              <w:t xml:space="preserve"> (тыс. руб.)</w:t>
            </w:r>
          </w:p>
        </w:tc>
        <w:tc>
          <w:tcPr>
            <w:tcW w:type="dxa" w:w="969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9 0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41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80</w:t>
            </w:r>
          </w:p>
        </w:tc>
      </w:tr>
      <w:tr>
        <w:tc>
          <w:tcPr>
            <w:tcW w:type="dxa" w:w="4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969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«Комфортная и безопасная среда для жизни», </w:t>
            </w:r>
            <w:r>
              <w:rPr>
                <w:rFonts w:ascii="Times New Roman" w:hAnsi="Times New Roman"/>
              </w:rPr>
              <w:t xml:space="preserve">в соответствии с </w:t>
            </w:r>
            <w:r>
              <w:rPr>
                <w:rFonts w:ascii="Times New Roman" w:hAnsi="Times New Roman"/>
              </w:rPr>
              <w:t>Указом</w:t>
            </w:r>
            <w:r>
              <w:rPr>
                <w:rFonts w:ascii="Times New Roman" w:hAnsi="Times New Roman"/>
              </w:rPr>
              <w:t xml:space="preserve"> През</w:t>
            </w:r>
            <w:r>
              <w:rPr>
                <w:rFonts w:ascii="Times New Roman" w:hAnsi="Times New Roman"/>
              </w:rPr>
              <w:t>идента Российской Федерации от 07</w:t>
            </w:r>
            <w:r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№ 309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О национальных целях развития Российской Федерации на период до 2030 года</w:t>
            </w:r>
            <w:r>
              <w:rPr>
                <w:rFonts w:ascii="Times New Roman" w:hAnsi="Times New Roman"/>
              </w:rPr>
              <w:t xml:space="preserve"> и на перспективу до 2036 года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государственной программой</w:t>
            </w:r>
            <w:r>
              <w:rPr>
                <w:rFonts w:ascii="Times New Roman" w:hAnsi="Times New Roman"/>
              </w:rPr>
              <w:t xml:space="preserve"> Челябинской области «</w:t>
            </w:r>
            <w:r>
              <w:rPr>
                <w:rFonts w:ascii="Times New Roman" w:hAnsi="Times New Roman"/>
              </w:rPr>
              <w:t>Развитие дорожного хозяйства и транспортной доступности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 Челябинской области</w:t>
            </w:r>
            <w:r>
              <w:rPr>
                <w:rFonts w:ascii="Times New Roman" w:hAnsi="Times New Roman"/>
              </w:rPr>
              <w:t>» (утверждена постановлением Правительства Челябинской области от 19.12.2019 г. № 552-П).</w:t>
            </w:r>
          </w:p>
        </w:tc>
      </w:tr>
    </w:tbl>
    <w:p w14:paraId="2F000000">
      <w:pPr>
        <w:pStyle w:val="Style_2"/>
        <w:ind/>
        <w:jc w:val="center"/>
        <w:rPr>
          <w:rFonts w:ascii="Times New Roman" w:hAnsi="Times New Roman"/>
        </w:rPr>
      </w:pPr>
      <w:bookmarkStart w:id="2" w:name="P530"/>
      <w:bookmarkEnd w:id="2"/>
    </w:p>
    <w:p w14:paraId="3000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муниципальной программы</w:t>
      </w:r>
    </w:p>
    <w:p w14:paraId="3100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tblInd w:type="dxa" w:w="1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1077"/>
        <w:gridCol w:w="2267"/>
        <w:gridCol w:w="1192"/>
        <w:gridCol w:w="1418"/>
        <w:gridCol w:w="1275"/>
        <w:gridCol w:w="1134"/>
        <w:gridCol w:w="1276"/>
        <w:gridCol w:w="1276"/>
        <w:gridCol w:w="1276"/>
        <w:gridCol w:w="1135"/>
        <w:gridCol w:w="1134"/>
      </w:tblGrid>
      <w:tr>
        <w:tc>
          <w:tcPr>
            <w:tcW w:type="dxa" w:w="10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2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1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737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10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460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муниципальной программы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Обеспечение развития доступной, безопасной и надежной системы городского пассажирского транспорта общего пользования</w:t>
            </w:r>
          </w:p>
        </w:tc>
      </w:tr>
      <w:tr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Протяженность маршрутной сети регулярных перевозок городским наземным электрическим </w:t>
            </w:r>
            <w:r>
              <w:rPr>
                <w:rFonts w:ascii="Times New Roman" w:hAnsi="Times New Roman"/>
              </w:rPr>
              <w:t>транспортом по регулируемым тарифам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Километр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1238</w:t>
            </w:r>
            <w:r>
              <w:rPr>
                <w:rFonts w:ascii="Times New Roman" w:hAnsi="Times New Roman"/>
              </w:rPr>
              <w:t>.10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947.20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947.20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947.20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947.20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947.20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947.20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</w:t>
            </w:r>
            <w:r>
              <w:rPr>
                <w:rFonts w:ascii="Times New Roman" w:hAnsi="Times New Roman"/>
              </w:rPr>
              <w:t>ьного хозяйства администрации города Магнитогорска</w:t>
            </w:r>
          </w:p>
          <w:p w14:paraId="5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маршрутной сети регулярных перевозок автомобильным транспортом по регулируемым тарифам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Километр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174.20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88</w:t>
            </w:r>
            <w:r>
              <w:rPr>
                <w:rFonts w:ascii="Times New Roman" w:hAnsi="Times New Roman"/>
              </w:rPr>
              <w:t>.60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88</w:t>
            </w:r>
            <w:r>
              <w:rPr>
                <w:rFonts w:ascii="Times New Roman" w:hAnsi="Times New Roman"/>
              </w:rPr>
              <w:t>.60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88</w:t>
            </w:r>
            <w:r>
              <w:rPr>
                <w:rFonts w:ascii="Times New Roman" w:hAnsi="Times New Roman"/>
              </w:rPr>
              <w:t>.60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88</w:t>
            </w:r>
            <w:r>
              <w:rPr>
                <w:rFonts w:ascii="Times New Roman" w:hAnsi="Times New Roman"/>
              </w:rPr>
              <w:t>.60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88</w:t>
            </w:r>
            <w:r>
              <w:rPr>
                <w:rFonts w:ascii="Times New Roman" w:hAnsi="Times New Roman"/>
              </w:rPr>
              <w:t>.60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88</w:t>
            </w:r>
            <w:r>
              <w:rPr>
                <w:rFonts w:ascii="Times New Roman" w:hAnsi="Times New Roman"/>
              </w:rPr>
              <w:t>.60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городских маршрутов регулярных перевозок автомобильным и городским наземным электрическим транспортом по регулируемым тарифам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Общее количество </w:t>
            </w:r>
            <w:r>
              <w:rPr>
                <w:rFonts w:ascii="Times New Roman" w:hAnsi="Times New Roman"/>
              </w:rPr>
              <w:t>пассажиро</w:t>
            </w:r>
            <w:r>
              <w:rPr>
                <w:rFonts w:ascii="Times New Roman" w:hAnsi="Times New Roman"/>
              </w:rPr>
              <w:t>-поездок перевезенных граждан автомобильным и городским наземным электрическим транспортом по городским маршрутам регулярных перевозок по регулируемым тарифам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 единиц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20 568.11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</w:t>
            </w:r>
            <w:r>
              <w:rPr>
                <w:rFonts w:ascii="Times New Roman" w:hAnsi="Times New Roman"/>
              </w:rPr>
              <w:t>.20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</w:t>
            </w:r>
            <w:r>
              <w:rPr>
                <w:rFonts w:ascii="Times New Roman" w:hAnsi="Times New Roman"/>
              </w:rPr>
              <w:t>.20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</w:t>
            </w:r>
            <w:r>
              <w:rPr>
                <w:rFonts w:ascii="Times New Roman" w:hAnsi="Times New Roman"/>
              </w:rPr>
              <w:t>.20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</w:t>
            </w:r>
            <w:r>
              <w:rPr>
                <w:rFonts w:ascii="Times New Roman" w:hAnsi="Times New Roman"/>
              </w:rPr>
              <w:t>.20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</w:t>
            </w:r>
            <w:r>
              <w:rPr>
                <w:rFonts w:ascii="Times New Roman" w:hAnsi="Times New Roman"/>
              </w:rPr>
              <w:t>.20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</w:t>
            </w:r>
            <w:r>
              <w:rPr>
                <w:rFonts w:ascii="Times New Roman" w:hAnsi="Times New Roman"/>
              </w:rPr>
              <w:t>.20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7B000000">
      <w:pPr>
        <w:pStyle w:val="Style_2"/>
        <w:ind/>
        <w:jc w:val="center"/>
        <w:rPr>
          <w:rFonts w:ascii="Times New Roman" w:hAnsi="Times New Roman"/>
        </w:rPr>
      </w:pPr>
      <w:bookmarkStart w:id="3" w:name="P688"/>
      <w:bookmarkEnd w:id="3"/>
    </w:p>
    <w:p w14:paraId="7C000000">
      <w:pPr>
        <w:pStyle w:val="Style_2"/>
        <w:ind/>
        <w:jc w:val="center"/>
        <w:rPr>
          <w:rFonts w:ascii="Times New Roman" w:hAnsi="Times New Roman"/>
        </w:rPr>
      </w:pPr>
    </w:p>
    <w:p w14:paraId="7D000000">
      <w:pPr>
        <w:pStyle w:val="Style_2"/>
        <w:ind/>
        <w:jc w:val="center"/>
        <w:rPr>
          <w:rFonts w:ascii="Times New Roman" w:hAnsi="Times New Roman"/>
        </w:rPr>
      </w:pPr>
    </w:p>
    <w:p w14:paraId="7E000000">
      <w:pPr>
        <w:pStyle w:val="Style_2"/>
        <w:ind/>
        <w:jc w:val="center"/>
        <w:rPr>
          <w:rFonts w:ascii="Times New Roman" w:hAnsi="Times New Roman"/>
        </w:rPr>
      </w:pPr>
    </w:p>
    <w:p w14:paraId="7F000000">
      <w:pPr>
        <w:pStyle w:val="Style_2"/>
        <w:ind/>
        <w:jc w:val="center"/>
        <w:rPr>
          <w:rFonts w:ascii="Times New Roman" w:hAnsi="Times New Roman"/>
        </w:rPr>
      </w:pPr>
    </w:p>
    <w:p w14:paraId="80000000">
      <w:pPr>
        <w:pStyle w:val="Style_2"/>
        <w:ind/>
        <w:jc w:val="center"/>
        <w:rPr>
          <w:rFonts w:ascii="Times New Roman" w:hAnsi="Times New Roman"/>
        </w:rPr>
      </w:pPr>
    </w:p>
    <w:p w14:paraId="81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План достижений показателей муниципальной программы в 2025 году </w:t>
      </w:r>
    </w:p>
    <w:tbl>
      <w:tblPr>
        <w:tblStyle w:val="Style_3"/>
        <w:tblW w:type="auto" w:w="0"/>
        <w:tblInd w:type="dxa" w:w="1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1"/>
        <w:gridCol w:w="2551"/>
        <w:gridCol w:w="1134"/>
        <w:gridCol w:w="851"/>
        <w:gridCol w:w="850"/>
        <w:gridCol w:w="709"/>
        <w:gridCol w:w="824"/>
        <w:gridCol w:w="773"/>
        <w:gridCol w:w="774"/>
        <w:gridCol w:w="773"/>
        <w:gridCol w:w="773"/>
        <w:gridCol w:w="773"/>
        <w:gridCol w:w="773"/>
        <w:gridCol w:w="774"/>
        <w:gridCol w:w="1276"/>
      </w:tblGrid>
      <w:tr>
        <w:tc>
          <w:tcPr>
            <w:tcW w:type="dxa" w:w="8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8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5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муниципальной программы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864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8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 xml:space="preserve"> года </w:t>
            </w:r>
          </w:p>
        </w:tc>
      </w:tr>
      <w:tr>
        <w:trPr>
          <w:trHeight w:hRule="atLeast" w:val="201"/>
        </w:trP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маршрутной сети регулярных перевозок городским наземным электрическим транспортом по регулируемым тарифам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Километр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947.20</w:t>
            </w: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маршрутной сети регулярных перевозок автомобильным транспортом по регулируемым тарифам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Километр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88</w:t>
            </w:r>
            <w:r>
              <w:rPr>
                <w:rFonts w:ascii="Times New Roman" w:hAnsi="Times New Roman"/>
              </w:rPr>
              <w:t>.60</w:t>
            </w: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городских маршрутов регулярных перевозок автомобильным и городским наземным электрическим транспортом по регулируемым тарифам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39</w:t>
            </w: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Общее количество </w:t>
            </w:r>
            <w:r>
              <w:rPr>
                <w:rFonts w:ascii="Times New Roman" w:hAnsi="Times New Roman"/>
              </w:rPr>
              <w:t>пассажиро</w:t>
            </w:r>
            <w:r>
              <w:rPr>
                <w:rFonts w:ascii="Times New Roman" w:hAnsi="Times New Roman"/>
              </w:rPr>
              <w:t xml:space="preserve">-поездок перевезенных граждан автомобильным и городским наземным электрическим транспортом по </w:t>
            </w:r>
            <w:r>
              <w:rPr>
                <w:rFonts w:ascii="Times New Roman" w:hAnsi="Times New Roman"/>
              </w:rPr>
              <w:t>городским маршрутам регулярных перевозок по регулируемым тарифам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ыс</w:t>
            </w:r>
            <w:r>
              <w:rPr>
                <w:rFonts w:ascii="Times New Roman" w:hAnsi="Times New Roman"/>
              </w:rPr>
              <w:t>яч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ед</w:t>
            </w:r>
            <w:r>
              <w:rPr>
                <w:rFonts w:ascii="Times New Roman" w:hAnsi="Times New Roman"/>
              </w:rPr>
              <w:t>иниц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23 461.20</w:t>
            </w:r>
          </w:p>
        </w:tc>
      </w:tr>
    </w:tbl>
    <w:p w14:paraId="E0000000">
      <w:pPr>
        <w:pStyle w:val="Style_2"/>
        <w:ind/>
        <w:jc w:val="both"/>
        <w:rPr>
          <w:rFonts w:ascii="Times New Roman" w:hAnsi="Times New Roman"/>
        </w:rPr>
      </w:pPr>
      <w:bookmarkStart w:id="4" w:name="P804"/>
      <w:bookmarkEnd w:id="4"/>
    </w:p>
    <w:p w14:paraId="E1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4. Структура муниципальной программы</w:t>
      </w:r>
    </w:p>
    <w:p w14:paraId="E200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tblInd w:type="dxa" w:w="1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3"/>
        <w:gridCol w:w="6597"/>
        <w:gridCol w:w="4076"/>
        <w:gridCol w:w="2847"/>
      </w:tblGrid>
      <w:tr>
        <w:trPr>
          <w:tblHeader/>
        </w:trPr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E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6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структурного элемента</w:t>
            </w: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2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</w:t>
            </w:r>
          </w:p>
        </w:tc>
      </w:tr>
      <w:tr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6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1442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1 «</w:t>
            </w:r>
            <w:r>
              <w:rPr>
                <w:rFonts w:ascii="Times New Roman" w:hAnsi="Times New Roman"/>
              </w:rPr>
              <w:t>Комплексное развитие городского пассажирского транспорта в городе Магнитогорске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1442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Комплекс процессных мероприятий «Комплексное развитие городского пассажирского транспорта в городе Магнитогорске»</w:t>
            </w:r>
          </w:p>
        </w:tc>
      </w:tr>
      <w:tr>
        <w:tc>
          <w:tcPr>
            <w:tcW w:type="dxa" w:w="75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</w:t>
            </w:r>
            <w:r>
              <w:rPr>
                <w:rFonts w:ascii="Times New Roman" w:hAnsi="Times New Roman"/>
              </w:rPr>
              <w:t xml:space="preserve"> Магнитогорска</w:t>
            </w:r>
          </w:p>
        </w:tc>
        <w:tc>
          <w:tcPr>
            <w:tcW w:type="dxa" w:w="69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2025 – 2030 годы</w:t>
            </w:r>
          </w:p>
        </w:tc>
      </w:tr>
      <w:tr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.1.</w:t>
            </w:r>
          </w:p>
        </w:tc>
        <w:tc>
          <w:tcPr>
            <w:tcW w:type="dxa" w:w="6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</w:t>
            </w:r>
            <w:r>
              <w:rPr>
                <w:rFonts w:ascii="Times New Roman" w:hAnsi="Times New Roman"/>
              </w:rPr>
              <w:t>Организация транспортного обслуживания населения по маршрутам регулярных перевозок по регулируемым и нерегулируемым тарифам автомобильным транспортом и наземным электрическим транспортом, в том числе льготных категорий гра</w:t>
            </w:r>
            <w:r>
              <w:rPr>
                <w:rFonts w:ascii="Times New Roman" w:hAnsi="Times New Roman"/>
              </w:rPr>
              <w:t>ждан</w:t>
            </w: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</w:t>
            </w:r>
            <w:r>
              <w:rPr>
                <w:rFonts w:ascii="Times New Roman" w:hAnsi="Times New Roman"/>
              </w:rPr>
              <w:t>ова</w:t>
            </w:r>
            <w:r>
              <w:rPr>
                <w:rFonts w:ascii="Times New Roman" w:hAnsi="Times New Roman"/>
              </w:rPr>
              <w:t xml:space="preserve">но транспортное обслуживание населения по </w:t>
            </w:r>
            <w:r>
              <w:rPr>
                <w:rFonts w:ascii="Times New Roman" w:hAnsi="Times New Roman"/>
              </w:rPr>
              <w:t>маршрутам регулярных перевозок по регулируемым и нерегулируемым тарифам автомобильным транспортом и наземным электрическим транспортом, в том числе льготных категорий граждан</w:t>
            </w:r>
          </w:p>
        </w:tc>
        <w:tc>
          <w:tcPr>
            <w:tcW w:type="dxa" w:w="2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1-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раздела 2</w:t>
            </w:r>
          </w:p>
        </w:tc>
      </w:tr>
      <w:tr>
        <w:tc>
          <w:tcPr>
            <w:tcW w:type="dxa" w:w="1442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омплекс процессных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</w:rPr>
              <w:t>«Комплексное развитие транспортной инфраструктуры города Магнитогорска»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>
        <w:tc>
          <w:tcPr>
            <w:tcW w:type="dxa" w:w="75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</w:t>
            </w:r>
            <w:r>
              <w:rPr>
                <w:rFonts w:ascii="Times New Roman" w:hAnsi="Times New Roman"/>
              </w:rPr>
              <w:t xml:space="preserve">: Управление транспорта и коммунального хозяйства администрации города Магнитогорска  </w:t>
            </w:r>
          </w:p>
        </w:tc>
        <w:tc>
          <w:tcPr>
            <w:tcW w:type="dxa" w:w="69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 – 2030 годы</w:t>
            </w:r>
          </w:p>
        </w:tc>
      </w:tr>
      <w:tr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.1.</w:t>
            </w:r>
          </w:p>
        </w:tc>
        <w:tc>
          <w:tcPr>
            <w:tcW w:type="dxa" w:w="6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Повышение доступности и качества услуг пассажирского транспорта для всех категорий граждан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Организовано обустройство объектов транспортной инфраструктуры </w:t>
            </w:r>
          </w:p>
        </w:tc>
        <w:tc>
          <w:tcPr>
            <w:tcW w:type="dxa" w:w="2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1-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раздела 2</w:t>
            </w:r>
          </w:p>
        </w:tc>
      </w:tr>
      <w:tr>
        <w:tc>
          <w:tcPr>
            <w:tcW w:type="dxa" w:w="1442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1.3. Комплекс процессных мероприятий «Модернизация транспортной системы города Магнитогорска»</w:t>
            </w:r>
          </w:p>
        </w:tc>
      </w:tr>
      <w:tr>
        <w:tc>
          <w:tcPr>
            <w:tcW w:type="dxa" w:w="75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реализацию: Управление транспорта и коммунального хозяйства администрации города Магнитогорска  </w:t>
            </w:r>
          </w:p>
        </w:tc>
        <w:tc>
          <w:tcPr>
            <w:tcW w:type="dxa" w:w="69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 – 2030 годы</w:t>
            </w:r>
          </w:p>
        </w:tc>
      </w:tr>
      <w:tr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6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Создание качественного общественного транспорта (трамвай, автобус), увеличение транспортного потенциала линий электротранспорта и автобусных маршрутов</w:t>
            </w: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Модернизация </w:t>
            </w:r>
            <w:r>
              <w:rPr>
                <w:rFonts w:ascii="Times New Roman" w:hAnsi="Times New Roman"/>
              </w:rPr>
              <w:t>транспортной системы,</w:t>
            </w:r>
            <w:r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 xml:space="preserve">риобретение в муниципальную собственность </w:t>
            </w:r>
            <w:r>
              <w:rPr>
                <w:rFonts w:ascii="Times New Roman" w:hAnsi="Times New Roman"/>
              </w:rPr>
              <w:t xml:space="preserve">подвижного состава </w:t>
            </w:r>
            <w:r>
              <w:rPr>
                <w:rFonts w:ascii="Times New Roman" w:hAnsi="Times New Roman"/>
              </w:rPr>
              <w:t>общественного транспорта (трамвай, автобус)</w:t>
            </w:r>
          </w:p>
        </w:tc>
        <w:tc>
          <w:tcPr>
            <w:tcW w:type="dxa" w:w="2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1-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раздела 2</w:t>
            </w:r>
          </w:p>
        </w:tc>
      </w:tr>
      <w:tr>
        <w:tc>
          <w:tcPr>
            <w:tcW w:type="dxa" w:w="1442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 Комплекс процессных мероприятий «</w:t>
            </w:r>
            <w:r>
              <w:rPr>
                <w:rFonts w:ascii="Times New Roman" w:hAnsi="Times New Roman"/>
              </w:rPr>
              <w:t>Обеспечение деятельности Управления транспорта и коммунального хозяйства администрации</w:t>
            </w:r>
            <w:r>
              <w:rPr>
                <w:rFonts w:ascii="Times New Roman" w:hAnsi="Times New Roman"/>
              </w:rPr>
              <w:t xml:space="preserve"> города Магнитогорска»</w:t>
            </w:r>
          </w:p>
        </w:tc>
      </w:tr>
      <w:tr>
        <w:tc>
          <w:tcPr>
            <w:tcW w:type="dxa" w:w="75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реализацию: Управление транспорта и коммунального хозяйства администрации города Магнитогорска  </w:t>
            </w:r>
          </w:p>
        </w:tc>
        <w:tc>
          <w:tcPr>
            <w:tcW w:type="dxa" w:w="69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 – 2030 годы</w:t>
            </w:r>
          </w:p>
        </w:tc>
      </w:tr>
      <w:tr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type="dxa" w:w="6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</w:t>
            </w:r>
            <w:r>
              <w:rPr>
                <w:rFonts w:ascii="Times New Roman" w:hAnsi="Times New Roman"/>
              </w:rPr>
              <w:t xml:space="preserve">беспечение </w:t>
            </w:r>
            <w:r>
              <w:rPr>
                <w:rFonts w:ascii="Times New Roman" w:hAnsi="Times New Roman"/>
              </w:rPr>
              <w:t>выполнения государственных (муниципальных) функций</w:t>
            </w: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pStyle w:val="Style_2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Обеспечение выполнения функций, возложенных на Управление транспорта</w:t>
            </w:r>
            <w:r>
              <w:rPr>
                <w:rFonts w:ascii="Times New Roman" w:hAnsi="Times New Roman"/>
              </w:rPr>
              <w:t xml:space="preserve"> и коммунального хозяйства администрации</w:t>
            </w:r>
            <w:r>
              <w:rPr>
                <w:rFonts w:ascii="Times New Roman" w:hAnsi="Times New Roman"/>
              </w:rPr>
              <w:t xml:space="preserve"> города Магнитогорска</w:t>
            </w:r>
            <w:r>
              <w:rPr>
                <w:rFonts w:ascii="Times New Roman" w:hAnsi="Times New Roman"/>
                <w:highlight w:val="yellow"/>
              </w:rPr>
              <w:t xml:space="preserve">  </w:t>
            </w:r>
          </w:p>
        </w:tc>
        <w:tc>
          <w:tcPr>
            <w:tcW w:type="dxa" w:w="2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1-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раздела 2</w:t>
            </w:r>
          </w:p>
        </w:tc>
      </w:tr>
    </w:tbl>
    <w:p w14:paraId="09010000">
      <w:pPr>
        <w:pStyle w:val="Style_2"/>
        <w:ind/>
        <w:jc w:val="both"/>
        <w:rPr>
          <w:rFonts w:ascii="Times New Roman" w:hAnsi="Times New Roman"/>
        </w:rPr>
      </w:pPr>
    </w:p>
    <w:p w14:paraId="0A010000">
      <w:pPr>
        <w:pStyle w:val="Style_2"/>
        <w:ind/>
        <w:jc w:val="center"/>
        <w:outlineLvl w:val="1"/>
        <w:rPr>
          <w:rFonts w:ascii="Times New Roman" w:hAnsi="Times New Roman"/>
        </w:rPr>
      </w:pPr>
      <w:bookmarkStart w:id="5" w:name="P877"/>
      <w:bookmarkEnd w:id="5"/>
      <w:r>
        <w:rPr>
          <w:rFonts w:ascii="Times New Roman" w:hAnsi="Times New Roman"/>
        </w:rPr>
        <w:t>5. Финансовое обеспечение муниципальной программы</w:t>
      </w:r>
    </w:p>
    <w:tbl>
      <w:tblPr>
        <w:tblStyle w:val="Style_5"/>
        <w:tblpPr w:bottomFromText="0" w:horzAnchor="margin" w:leftFromText="180" w:rightFromText="180" w:tblpX="132" w:tblpY="136" w:topFromText="0" w:vertAnchor="text"/>
        <w:tblW w:type="auto" w:w="0"/>
        <w:tblLayout w:type="fixed"/>
      </w:tblPr>
      <w:tblGrid>
        <w:gridCol w:w="3831"/>
        <w:gridCol w:w="1561"/>
        <w:gridCol w:w="1558"/>
        <w:gridCol w:w="1561"/>
        <w:gridCol w:w="1558"/>
        <w:gridCol w:w="1417"/>
        <w:gridCol w:w="1417"/>
        <w:gridCol w:w="1523"/>
      </w:tblGrid>
      <w:tr>
        <w:tc>
          <w:tcPr>
            <w:tcW w:type="dxa" w:w="3831"/>
            <w:vMerge w:val="restart"/>
          </w:tcPr>
          <w:p w14:paraId="0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Источник финансового обеспечения</w:t>
            </w:r>
          </w:p>
        </w:tc>
        <w:tc>
          <w:tcPr>
            <w:tcW w:type="dxa" w:w="10595"/>
            <w:gridSpan w:val="7"/>
          </w:tcPr>
          <w:p w14:paraId="0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</w:t>
            </w:r>
            <w:r>
              <w:rPr>
                <w:rFonts w:ascii="Times New Roman" w:hAnsi="Times New Roman"/>
              </w:rPr>
              <w:t>финансов</w:t>
            </w:r>
            <w:r>
              <w:rPr>
                <w:rFonts w:ascii="Times New Roman" w:hAnsi="Times New Roman"/>
              </w:rPr>
              <w:t>ого обеспечения по годам реализации, тыс. рублей</w:t>
            </w:r>
          </w:p>
        </w:tc>
      </w:tr>
      <w:tr>
        <w:tc>
          <w:tcPr>
            <w:tcW w:type="dxa" w:w="3831"/>
            <w:gridSpan w:val="1"/>
            <w:vMerge w:val="continue"/>
          </w:tcPr>
          <w:p/>
        </w:tc>
        <w:tc>
          <w:tcPr>
            <w:tcW w:type="dxa" w:w="1561"/>
            <w:vAlign w:val="center"/>
          </w:tcPr>
          <w:p w14:paraId="0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bookmarkStart w:id="6" w:name="_GoBack"/>
            <w:bookmarkEnd w:id="6"/>
            <w:r>
              <w:rPr>
                <w:rFonts w:ascii="Times New Roman" w:hAnsi="Times New Roman"/>
              </w:rPr>
              <w:t xml:space="preserve">2025 </w:t>
            </w: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558"/>
            <w:vAlign w:val="center"/>
          </w:tcPr>
          <w:p w14:paraId="0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561"/>
            <w:vAlign w:val="center"/>
          </w:tcPr>
          <w:p w14:paraId="0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558"/>
            <w:vAlign w:val="center"/>
          </w:tcPr>
          <w:p w14:paraId="1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 год</w:t>
            </w:r>
          </w:p>
        </w:tc>
        <w:tc>
          <w:tcPr>
            <w:tcW w:type="dxa" w:w="1417"/>
          </w:tcPr>
          <w:p w14:paraId="1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 год</w:t>
            </w:r>
          </w:p>
        </w:tc>
        <w:tc>
          <w:tcPr>
            <w:tcW w:type="dxa" w:w="1417"/>
          </w:tcPr>
          <w:p w14:paraId="1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 год</w:t>
            </w:r>
          </w:p>
        </w:tc>
        <w:tc>
          <w:tcPr>
            <w:tcW w:type="dxa" w:w="1523"/>
          </w:tcPr>
          <w:p w14:paraId="1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3831"/>
            <w:vAlign w:val="center"/>
          </w:tcPr>
          <w:p w14:paraId="1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61"/>
            <w:vAlign w:val="center"/>
          </w:tcPr>
          <w:p w14:paraId="1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8"/>
            <w:vAlign w:val="center"/>
          </w:tcPr>
          <w:p w14:paraId="1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61"/>
            <w:vAlign w:val="center"/>
          </w:tcPr>
          <w:p w14:paraId="1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558"/>
            <w:vAlign w:val="center"/>
          </w:tcPr>
          <w:p w14:paraId="1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7"/>
          </w:tcPr>
          <w:p w14:paraId="1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7"/>
          </w:tcPr>
          <w:p w14:paraId="1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523"/>
          </w:tcPr>
          <w:p w14:paraId="1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3831"/>
          </w:tcPr>
          <w:p w14:paraId="1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  <w:r>
              <w:rPr>
                <w:rFonts w:ascii="Times New Roman" w:hAnsi="Times New Roman"/>
              </w:rPr>
              <w:t xml:space="preserve">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561"/>
          </w:tcPr>
          <w:p w14:paraId="1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50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792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1558"/>
          </w:tcPr>
          <w:p w14:paraId="1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128 310.97</w:t>
            </w:r>
          </w:p>
        </w:tc>
        <w:tc>
          <w:tcPr>
            <w:tcW w:type="dxa" w:w="1561"/>
          </w:tcPr>
          <w:p w14:paraId="1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197 628.65</w:t>
            </w:r>
          </w:p>
        </w:tc>
        <w:tc>
          <w:tcPr>
            <w:tcW w:type="dxa" w:w="1558"/>
          </w:tcPr>
          <w:p w14:paraId="2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698 200.00</w:t>
            </w:r>
          </w:p>
        </w:tc>
        <w:tc>
          <w:tcPr>
            <w:tcW w:type="dxa" w:w="1417"/>
          </w:tcPr>
          <w:p w14:paraId="2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753 210.00</w:t>
            </w:r>
          </w:p>
        </w:tc>
        <w:tc>
          <w:tcPr>
            <w:tcW w:type="dxa" w:w="1417"/>
          </w:tcPr>
          <w:p w14:paraId="2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813 500.00</w:t>
            </w:r>
          </w:p>
        </w:tc>
        <w:tc>
          <w:tcPr>
            <w:tcW w:type="dxa" w:w="1523"/>
          </w:tcPr>
          <w:p w14:paraId="2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 09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6</w:t>
            </w:r>
            <w:r>
              <w:rPr>
                <w:rFonts w:ascii="Times New Roman" w:hAnsi="Times New Roman"/>
              </w:rPr>
              <w:t>41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80</w:t>
            </w:r>
          </w:p>
        </w:tc>
      </w:tr>
      <w:tr>
        <w:tc>
          <w:tcPr>
            <w:tcW w:type="dxa" w:w="3831"/>
          </w:tcPr>
          <w:p w14:paraId="2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61"/>
          </w:tcPr>
          <w:p w14:paraId="2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58"/>
          </w:tcPr>
          <w:p w14:paraId="2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61"/>
          </w:tcPr>
          <w:p w14:paraId="27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58"/>
          </w:tcPr>
          <w:p w14:paraId="2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17"/>
          </w:tcPr>
          <w:p w14:paraId="29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17"/>
          </w:tcPr>
          <w:p w14:paraId="2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23"/>
          </w:tcPr>
          <w:p w14:paraId="2B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</w:tr>
      <w:tr>
        <w:tc>
          <w:tcPr>
            <w:tcW w:type="dxa" w:w="3831"/>
          </w:tcPr>
          <w:p w14:paraId="2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561"/>
          </w:tcPr>
          <w:p w14:paraId="2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79 857.86</w:t>
            </w:r>
          </w:p>
        </w:tc>
        <w:tc>
          <w:tcPr>
            <w:tcW w:type="dxa" w:w="1558"/>
          </w:tcPr>
          <w:p w14:paraId="2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223 858.37</w:t>
            </w:r>
          </w:p>
        </w:tc>
        <w:tc>
          <w:tcPr>
            <w:tcW w:type="dxa" w:w="1561"/>
          </w:tcPr>
          <w:p w14:paraId="2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220 850.76</w:t>
            </w:r>
          </w:p>
        </w:tc>
        <w:tc>
          <w:tcPr>
            <w:tcW w:type="dxa" w:w="1558"/>
          </w:tcPr>
          <w:p w14:paraId="3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240 038.50</w:t>
            </w:r>
          </w:p>
        </w:tc>
        <w:tc>
          <w:tcPr>
            <w:tcW w:type="dxa" w:w="1417"/>
          </w:tcPr>
          <w:p w14:paraId="3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240 038.50</w:t>
            </w:r>
          </w:p>
        </w:tc>
        <w:tc>
          <w:tcPr>
            <w:tcW w:type="dxa" w:w="1417"/>
          </w:tcPr>
          <w:p w14:paraId="3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240 038.50</w:t>
            </w:r>
          </w:p>
        </w:tc>
        <w:tc>
          <w:tcPr>
            <w:tcW w:type="dxa" w:w="1523"/>
          </w:tcPr>
          <w:p w14:paraId="3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1 44</w:t>
            </w:r>
            <w:r>
              <w:rPr>
                <w:rFonts w:ascii="Times New Roman" w:hAnsi="Times New Roman"/>
              </w:rPr>
              <w:t>4 682.49</w:t>
            </w:r>
          </w:p>
        </w:tc>
      </w:tr>
      <w:tr>
        <w:tc>
          <w:tcPr>
            <w:tcW w:type="dxa" w:w="3831"/>
          </w:tcPr>
          <w:p w14:paraId="3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561"/>
          </w:tcPr>
          <w:p w14:paraId="3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>4 934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type="dxa" w:w="1558"/>
          </w:tcPr>
          <w:p w14:paraId="3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904 452.</w:t>
            </w: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type="dxa" w:w="1561"/>
          </w:tcPr>
          <w:p w14:paraId="3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976 777.89</w:t>
            </w:r>
          </w:p>
        </w:tc>
        <w:tc>
          <w:tcPr>
            <w:tcW w:type="dxa" w:w="1558"/>
          </w:tcPr>
          <w:p w14:paraId="3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458 161.50</w:t>
            </w:r>
          </w:p>
        </w:tc>
        <w:tc>
          <w:tcPr>
            <w:tcW w:type="dxa" w:w="1417"/>
          </w:tcPr>
          <w:p w14:paraId="3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513 171.50</w:t>
            </w:r>
          </w:p>
        </w:tc>
        <w:tc>
          <w:tcPr>
            <w:tcW w:type="dxa" w:w="1417"/>
          </w:tcPr>
          <w:p w14:paraId="3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573 461.50</w:t>
            </w:r>
          </w:p>
        </w:tc>
        <w:tc>
          <w:tcPr>
            <w:tcW w:type="dxa" w:w="1523"/>
          </w:tcPr>
          <w:p w14:paraId="3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 650 959.31</w:t>
            </w:r>
          </w:p>
        </w:tc>
      </w:tr>
      <w:tr>
        <w:tc>
          <w:tcPr>
            <w:tcW w:type="dxa" w:w="3831"/>
          </w:tcPr>
          <w:p w14:paraId="3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561"/>
          </w:tcPr>
          <w:p w14:paraId="3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58"/>
          </w:tcPr>
          <w:p w14:paraId="3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61"/>
          </w:tcPr>
          <w:p w14:paraId="3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58"/>
          </w:tcPr>
          <w:p w14:paraId="4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17"/>
          </w:tcPr>
          <w:p w14:paraId="4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17"/>
          </w:tcPr>
          <w:p w14:paraId="4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23"/>
          </w:tcPr>
          <w:p w14:paraId="4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</w:tr>
      <w:tr>
        <w:tc>
          <w:tcPr>
            <w:tcW w:type="dxa" w:w="3831"/>
          </w:tcPr>
          <w:p w14:paraId="4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бъем налоговых расходов</w:t>
            </w:r>
          </w:p>
        </w:tc>
        <w:tc>
          <w:tcPr>
            <w:tcW w:type="dxa" w:w="1561"/>
          </w:tcPr>
          <w:p w14:paraId="4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58"/>
          </w:tcPr>
          <w:p w14:paraId="4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61"/>
          </w:tcPr>
          <w:p w14:paraId="4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58"/>
          </w:tcPr>
          <w:p w14:paraId="4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17"/>
          </w:tcPr>
          <w:p w14:paraId="4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17"/>
          </w:tcPr>
          <w:p w14:paraId="4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23"/>
          </w:tcPr>
          <w:p w14:paraId="4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</w:tr>
    </w:tbl>
    <w:p w14:paraId="4C0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bookmarkStart w:id="7" w:name="P1378"/>
      <w:bookmarkEnd w:id="7"/>
      <w:bookmarkStart w:id="8" w:name="P1379"/>
      <w:bookmarkEnd w:id="8"/>
      <w:bookmarkStart w:id="9" w:name="P1380"/>
      <w:bookmarkEnd w:id="9"/>
    </w:p>
    <w:sectPr>
      <w:headerReference r:id="rId2" w:type="default"/>
      <w:headerReference r:id="rId1" w:type="first"/>
      <w:pgSz w:h="11905" w:orient="landscape" w:w="16838"/>
      <w:pgMar w:bottom="709" w:footer="0" w:gutter="0" w:header="0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</w:p>
  <w:p w14:paraId="04000000">
    <w:pPr>
      <w:pStyle w:val="Style_1"/>
      <w:ind/>
      <w:jc w:val="center"/>
    </w:pPr>
  </w:p>
  <w:p w14:paraId="05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6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200" w:line="276" w:lineRule="auto"/>
      <w:ind/>
    </w:pPr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ConsPlusTitle"/>
    <w:link w:val="Style_8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8_ch" w:type="character">
    <w:name w:val="ConsPlusTitle"/>
    <w:link w:val="Style_8"/>
    <w:rPr>
      <w:rFonts w:ascii="Calibri" w:hAnsi="Calibri"/>
      <w:b w:val="1"/>
    </w:rPr>
  </w:style>
  <w:style w:styleId="Style_9" w:type="paragraph">
    <w:name w:val="toc 4"/>
    <w:next w:val="Style_6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6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6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annotation reference"/>
    <w:basedOn w:val="Style_13"/>
    <w:link w:val="Style_12_ch"/>
    <w:rPr>
      <w:sz w:val="16"/>
    </w:rPr>
  </w:style>
  <w:style w:styleId="Style_12_ch" w:type="character">
    <w:name w:val="annotation reference"/>
    <w:basedOn w:val="Style_13_ch"/>
    <w:link w:val="Style_12"/>
    <w:rPr>
      <w:sz w:val="16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6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ConsPlusNonformat"/>
    <w:link w:val="Style_16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16_ch" w:type="character">
    <w:name w:val="ConsPlusNonformat"/>
    <w:link w:val="Style_16"/>
    <w:rPr>
      <w:rFonts w:ascii="Courier New" w:hAnsi="Courier New"/>
      <w:sz w:val="20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17" w:type="paragraph">
    <w:name w:val="ConsPlusDocList"/>
    <w:link w:val="Style_17_ch"/>
    <w:pPr>
      <w:widowControl w:val="0"/>
      <w:spacing w:after="0" w:line="240" w:lineRule="auto"/>
      <w:ind/>
    </w:pPr>
    <w:rPr>
      <w:rFonts w:ascii="Calibri" w:hAnsi="Calibri"/>
    </w:rPr>
  </w:style>
  <w:style w:styleId="Style_17_ch" w:type="character">
    <w:name w:val="ConsPlusDocList"/>
    <w:link w:val="Style_17"/>
    <w:rPr>
      <w:rFonts w:ascii="Calibri" w:hAnsi="Calibri"/>
    </w:rPr>
  </w:style>
  <w:style w:styleId="Style_18" w:type="paragraph">
    <w:name w:val="annotation subject"/>
    <w:basedOn w:val="Style_19"/>
    <w:next w:val="Style_19"/>
    <w:link w:val="Style_18_ch"/>
    <w:rPr>
      <w:b w:val="1"/>
    </w:rPr>
  </w:style>
  <w:style w:styleId="Style_18_ch" w:type="character">
    <w:name w:val="annotation subject"/>
    <w:basedOn w:val="Style_19_ch"/>
    <w:link w:val="Style_18"/>
    <w:rPr>
      <w:b w:val="1"/>
    </w:rPr>
  </w:style>
  <w:style w:styleId="Style_20" w:type="paragraph">
    <w:name w:val="toc 3"/>
    <w:next w:val="Style_6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ConsPlusTitlePage"/>
    <w:link w:val="Style_21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21_ch" w:type="character">
    <w:name w:val="ConsPlusTitlePage"/>
    <w:link w:val="Style_21"/>
    <w:rPr>
      <w:rFonts w:ascii="Tahoma" w:hAnsi="Tahoma"/>
      <w:sz w:val="20"/>
    </w:rPr>
  </w:style>
  <w:style w:styleId="Style_22" w:type="paragraph">
    <w:name w:val="heading 5"/>
    <w:next w:val="Style_6"/>
    <w:link w:val="Style_2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2_ch" w:type="character">
    <w:name w:val="heading 5"/>
    <w:link w:val="Style_22"/>
    <w:rPr>
      <w:rFonts w:ascii="XO Thames" w:hAnsi="XO Thames"/>
      <w:b w:val="1"/>
      <w:sz w:val="22"/>
    </w:rPr>
  </w:style>
  <w:style w:styleId="Style_23" w:type="paragraph">
    <w:name w:val="heading 1"/>
    <w:next w:val="Style_6"/>
    <w:link w:val="Style_2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3_ch" w:type="character">
    <w:name w:val="heading 1"/>
    <w:link w:val="Style_23"/>
    <w:rPr>
      <w:rFonts w:ascii="XO Thames" w:hAnsi="XO Thames"/>
      <w:b w:val="1"/>
      <w:sz w:val="32"/>
    </w:rPr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ind w:firstLine="851" w:left="0"/>
      <w:jc w:val="both"/>
    </w:pPr>
    <w:rPr>
      <w:rFonts w:ascii="XO Thames" w:hAnsi="XO Thames"/>
      <w:sz w:val="22"/>
    </w:rPr>
  </w:style>
  <w:style w:styleId="Style_25_ch" w:type="character">
    <w:name w:val="Footnote"/>
    <w:link w:val="Style_25"/>
    <w:rPr>
      <w:rFonts w:ascii="XO Thames" w:hAnsi="XO Thames"/>
      <w:sz w:val="22"/>
    </w:rPr>
  </w:style>
  <w:style w:styleId="Style_26" w:type="paragraph">
    <w:name w:val="footer"/>
    <w:basedOn w:val="Style_6"/>
    <w:link w:val="Style_2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6_ch" w:type="character">
    <w:name w:val="footer"/>
    <w:basedOn w:val="Style_6_ch"/>
    <w:link w:val="Style_26"/>
  </w:style>
  <w:style w:styleId="Style_27" w:type="paragraph">
    <w:name w:val="toc 1"/>
    <w:next w:val="Style_6"/>
    <w:link w:val="Style_2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28" w:type="paragraph">
    <w:name w:val="Header and Footer"/>
    <w:link w:val="Style_28_ch"/>
    <w:pPr>
      <w:spacing w:line="240" w:lineRule="auto"/>
      <w:ind/>
      <w:jc w:val="both"/>
    </w:pPr>
    <w:rPr>
      <w:rFonts w:ascii="XO Thames" w:hAnsi="XO Thames"/>
      <w:sz w:val="28"/>
    </w:rPr>
  </w:style>
  <w:style w:styleId="Style_28_ch" w:type="character">
    <w:name w:val="Header and Footer"/>
    <w:link w:val="Style_28"/>
    <w:rPr>
      <w:rFonts w:ascii="XO Thames" w:hAnsi="XO Thames"/>
      <w:sz w:val="28"/>
    </w:rPr>
  </w:style>
  <w:style w:styleId="Style_4" w:type="paragraph">
    <w:name w:val="Нормальный (таблица)"/>
    <w:basedOn w:val="Style_6"/>
    <w:next w:val="Style_6"/>
    <w:link w:val="Style_4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4_ch" w:type="character">
    <w:name w:val="Нормальный (таблица)"/>
    <w:basedOn w:val="Style_6_ch"/>
    <w:link w:val="Style_4"/>
    <w:rPr>
      <w:rFonts w:ascii="Arial" w:hAnsi="Arial"/>
      <w:sz w:val="24"/>
    </w:rPr>
  </w:style>
  <w:style w:styleId="Style_29" w:type="paragraph">
    <w:name w:val="Balloon Text"/>
    <w:basedOn w:val="Style_6"/>
    <w:link w:val="Style_29_ch"/>
    <w:pPr>
      <w:spacing w:after="0" w:line="240" w:lineRule="auto"/>
      <w:ind/>
    </w:pPr>
    <w:rPr>
      <w:rFonts w:ascii="Segoe UI" w:hAnsi="Segoe UI"/>
      <w:sz w:val="18"/>
    </w:rPr>
  </w:style>
  <w:style w:styleId="Style_29_ch" w:type="character">
    <w:name w:val="Balloon Text"/>
    <w:basedOn w:val="Style_6_ch"/>
    <w:link w:val="Style_29"/>
    <w:rPr>
      <w:rFonts w:ascii="Segoe UI" w:hAnsi="Segoe UI"/>
      <w:sz w:val="18"/>
    </w:rPr>
  </w:style>
  <w:style w:styleId="Style_30" w:type="paragraph">
    <w:name w:val="toc 9"/>
    <w:next w:val="Style_6"/>
    <w:link w:val="Style_3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31" w:type="paragraph">
    <w:name w:val="ConsPlusJurTerm"/>
    <w:link w:val="Style_31_ch"/>
    <w:pPr>
      <w:widowControl w:val="0"/>
      <w:spacing w:after="0" w:line="240" w:lineRule="auto"/>
      <w:ind/>
    </w:pPr>
    <w:rPr>
      <w:rFonts w:ascii="Tahoma" w:hAnsi="Tahoma"/>
      <w:sz w:val="26"/>
    </w:rPr>
  </w:style>
  <w:style w:styleId="Style_31_ch" w:type="character">
    <w:name w:val="ConsPlusJurTerm"/>
    <w:link w:val="Style_31"/>
    <w:rPr>
      <w:rFonts w:ascii="Tahoma" w:hAnsi="Tahoma"/>
      <w:sz w:val="26"/>
    </w:rPr>
  </w:style>
  <w:style w:styleId="Style_32" w:type="paragraph">
    <w:name w:val="toc 8"/>
    <w:next w:val="Style_6"/>
    <w:link w:val="Style_3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2_ch" w:type="character">
    <w:name w:val="toc 8"/>
    <w:link w:val="Style_32"/>
    <w:rPr>
      <w:rFonts w:ascii="XO Thames" w:hAnsi="XO Thames"/>
      <w:sz w:val="28"/>
    </w:rPr>
  </w:style>
  <w:style w:styleId="Style_19" w:type="paragraph">
    <w:name w:val="annotation text"/>
    <w:basedOn w:val="Style_6"/>
    <w:link w:val="Style_19_ch"/>
    <w:pPr>
      <w:spacing w:line="240" w:lineRule="auto"/>
      <w:ind/>
    </w:pPr>
    <w:rPr>
      <w:sz w:val="20"/>
    </w:rPr>
  </w:style>
  <w:style w:styleId="Style_19_ch" w:type="character">
    <w:name w:val="annotation text"/>
    <w:basedOn w:val="Style_6_ch"/>
    <w:link w:val="Style_19"/>
    <w:rPr>
      <w:sz w:val="20"/>
    </w:rPr>
  </w:style>
  <w:style w:styleId="Style_33" w:type="paragraph">
    <w:name w:val="ConsPlusCell"/>
    <w:link w:val="Style_33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33_ch" w:type="character">
    <w:name w:val="ConsPlusCell"/>
    <w:link w:val="Style_33"/>
    <w:rPr>
      <w:rFonts w:ascii="Courier New" w:hAnsi="Courier New"/>
      <w:sz w:val="20"/>
    </w:rPr>
  </w:style>
  <w:style w:styleId="Style_34" w:type="paragraph">
    <w:name w:val="toc 5"/>
    <w:next w:val="Style_6"/>
    <w:link w:val="Style_3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4_ch" w:type="character">
    <w:name w:val="toc 5"/>
    <w:link w:val="Style_34"/>
    <w:rPr>
      <w:rFonts w:ascii="XO Thames" w:hAnsi="XO Thames"/>
      <w:sz w:val="28"/>
    </w:rPr>
  </w:style>
  <w:style w:styleId="Style_35" w:type="paragraph">
    <w:name w:val="ConsPlusTextList"/>
    <w:link w:val="Style_35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35_ch" w:type="character">
    <w:name w:val="ConsPlusTextList"/>
    <w:link w:val="Style_35"/>
    <w:rPr>
      <w:rFonts w:ascii="Arial" w:hAnsi="Arial"/>
      <w:sz w:val="20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36" w:type="paragraph">
    <w:name w:val="Subtitle"/>
    <w:next w:val="Style_6"/>
    <w:link w:val="Style_3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6_ch" w:type="character">
    <w:name w:val="Subtitle"/>
    <w:link w:val="Style_36"/>
    <w:rPr>
      <w:rFonts w:ascii="XO Thames" w:hAnsi="XO Thames"/>
      <w:i w:val="1"/>
      <w:sz w:val="24"/>
    </w:rPr>
  </w:style>
  <w:style w:styleId="Style_37" w:type="paragraph">
    <w:name w:val="Title"/>
    <w:next w:val="Style_6"/>
    <w:link w:val="Style_3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7_ch" w:type="character">
    <w:name w:val="Title"/>
    <w:link w:val="Style_37"/>
    <w:rPr>
      <w:rFonts w:ascii="XO Thames" w:hAnsi="XO Thames"/>
      <w:b w:val="1"/>
      <w:caps w:val="1"/>
      <w:sz w:val="40"/>
    </w:rPr>
  </w:style>
  <w:style w:styleId="Style_38" w:type="paragraph">
    <w:name w:val="heading 4"/>
    <w:next w:val="Style_6"/>
    <w:link w:val="Style_3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8_ch" w:type="character">
    <w:name w:val="heading 4"/>
    <w:link w:val="Style_38"/>
    <w:rPr>
      <w:rFonts w:ascii="XO Thames" w:hAnsi="XO Thames"/>
      <w:b w:val="1"/>
      <w:sz w:val="24"/>
    </w:rPr>
  </w:style>
  <w:style w:styleId="Style_39" w:type="paragraph">
    <w:name w:val="heading 2"/>
    <w:next w:val="Style_6"/>
    <w:link w:val="Style_3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9_ch" w:type="character">
    <w:name w:val="heading 2"/>
    <w:link w:val="Style_39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2025-06-03T07:50:50Z</dcterms:modified>
</cp:coreProperties>
</file>