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</w:t>
      </w:r>
    </w:p>
    <w:p w14:paraId="02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к постановлению </w:t>
      </w:r>
      <w:r>
        <w:rPr>
          <w:rFonts w:ascii="Times New Roman" w:hAnsi="Times New Roman"/>
          <w:sz w:val="22"/>
        </w:rPr>
        <w:t xml:space="preserve">администрации </w:t>
      </w:r>
    </w:p>
    <w:p w14:paraId="03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04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13.05.2025 № 4168-П</w:t>
      </w:r>
    </w:p>
    <w:p w14:paraId="05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</w:p>
    <w:p w14:paraId="06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</w:t>
      </w:r>
    </w:p>
    <w:p w14:paraId="07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к муниципальной </w:t>
      </w:r>
      <w:r>
        <w:rPr>
          <w:rFonts w:ascii="Times New Roman" w:hAnsi="Times New Roman"/>
          <w:sz w:val="22"/>
        </w:rPr>
        <w:t xml:space="preserve">программе «Выполнение функций </w:t>
      </w:r>
      <w:r>
        <w:rPr>
          <w:rFonts w:ascii="Times New Roman" w:hAnsi="Times New Roman"/>
          <w:sz w:val="22"/>
        </w:rPr>
        <w:t xml:space="preserve">по управлению, владению, </w:t>
      </w:r>
      <w:r>
        <w:rPr>
          <w:rFonts w:ascii="Times New Roman" w:hAnsi="Times New Roman"/>
          <w:sz w:val="22"/>
        </w:rPr>
        <w:t xml:space="preserve">пользованию </w:t>
      </w:r>
    </w:p>
    <w:p w14:paraId="08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и распоряжению муниципальным </w:t>
      </w:r>
      <w:r>
        <w:rPr>
          <w:rFonts w:ascii="Times New Roman" w:hAnsi="Times New Roman"/>
          <w:sz w:val="22"/>
        </w:rPr>
        <w:t xml:space="preserve">имуществом в городе </w:t>
      </w:r>
      <w:r>
        <w:rPr>
          <w:rFonts w:ascii="Times New Roman" w:hAnsi="Times New Roman"/>
          <w:sz w:val="22"/>
        </w:rPr>
        <w:t>Магнитогорске» на 2025 – 2030 годы</w:t>
      </w:r>
    </w:p>
    <w:p w14:paraId="09000000">
      <w:pPr>
        <w:spacing w:after="0" w:before="0" w:line="240" w:lineRule="auto"/>
        <w:ind/>
        <w:jc w:val="right"/>
        <w:rPr>
          <w:rFonts w:ascii="Times New Roman" w:hAnsi="Times New Roman"/>
          <w:sz w:val="16"/>
        </w:rPr>
      </w:pPr>
    </w:p>
    <w:p w14:paraId="0A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bookmarkStart w:id="1" w:name="P491"/>
      <w:bookmarkEnd w:id="1"/>
      <w:r>
        <w:rPr>
          <w:rFonts w:ascii="Times New Roman" w:hAnsi="Times New Roman"/>
          <w:sz w:val="28"/>
        </w:rPr>
        <w:t>ПАСПОРТ</w:t>
      </w:r>
    </w:p>
    <w:p w14:paraId="0B000000">
      <w:pPr>
        <w:spacing w:after="0" w:before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Муниципальной программы</w:t>
      </w:r>
    </w:p>
    <w:p w14:paraId="0C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«Выполнение функций по управлению, владению, пользованию и распоряжению муниципальным имуществом</w:t>
      </w:r>
    </w:p>
    <w:p w14:paraId="0D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в городе Магнитогорске»</w:t>
      </w:r>
    </w:p>
    <w:p w14:paraId="0E000000">
      <w:pPr>
        <w:spacing w:after="0" w:before="0" w:line="240" w:lineRule="auto"/>
        <w:ind/>
        <w:jc w:val="center"/>
        <w:rPr>
          <w:rFonts w:ascii="Times New Roman" w:hAnsi="Times New Roman"/>
          <w:strike w:val="1"/>
          <w:sz w:val="28"/>
        </w:rPr>
      </w:pPr>
      <w:r>
        <w:rPr>
          <w:rFonts w:ascii="Times New Roman" w:hAnsi="Times New Roman"/>
          <w:sz w:val="28"/>
        </w:rPr>
        <w:t xml:space="preserve"> на 2025 – 2030 годы</w:t>
      </w:r>
    </w:p>
    <w:p w14:paraId="0F000000">
      <w:pPr>
        <w:spacing w:after="0" w:before="0" w:line="240" w:lineRule="auto"/>
        <w:ind/>
        <w:jc w:val="center"/>
        <w:rPr>
          <w:rFonts w:ascii="Times New Roman" w:hAnsi="Times New Roman"/>
          <w:strike w:val="1"/>
          <w:sz w:val="20"/>
        </w:rPr>
      </w:pPr>
    </w:p>
    <w:p w14:paraId="10000000">
      <w:pPr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Основные положения</w:t>
      </w:r>
    </w:p>
    <w:p w14:paraId="11000000">
      <w:pPr>
        <w:spacing w:after="0" w:before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1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3"/>
        <w:gridCol w:w="7515"/>
      </w:tblGrid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города, курирующий сферу имущественных вопросов</w:t>
            </w:r>
          </w:p>
          <w:p w14:paraId="1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9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</w:t>
            </w:r>
            <w:r>
              <w:rPr>
                <w:rFonts w:ascii="Times New Roman" w:hAnsi="Times New Roman"/>
                <w:sz w:val="28"/>
              </w:rPr>
              <w:t xml:space="preserve">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Цели/задачи муниципальной программы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ведение достоверного учета объектов муниципальной собственности и правоотношений.</w:t>
            </w:r>
          </w:p>
        </w:tc>
        <w:tc>
          <w:tcPr>
            <w:tcW w:type="dxa" w:w="7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отношениями.</w:t>
            </w:r>
          </w:p>
          <w:p w14:paraId="1F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отношений.</w:t>
            </w:r>
          </w:p>
          <w:p w14:paraId="2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  <w:p w14:paraId="22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4. </w:t>
            </w: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субъектов.</w:t>
            </w:r>
          </w:p>
          <w:p w14:paraId="2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5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5. Приобретение транспортных средств и специализированной техники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970 653,03 тыс. руб.</w:t>
            </w:r>
          </w:p>
        </w:tc>
      </w:tr>
      <w:tr>
        <w:trPr>
          <w:trHeight w:hRule="atLeast" w:val="13"/>
        </w:trP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before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14:paraId="2C000000">
            <w:pPr>
              <w:widowControl w:val="0"/>
              <w:spacing w:after="0" w:before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</w:r>
          </w:p>
        </w:tc>
      </w:tr>
    </w:tbl>
    <w:p w14:paraId="2D000000">
      <w:pPr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2" w:name="P530"/>
      <w:bookmarkEnd w:id="2"/>
      <w:r>
        <w:br w:type="page"/>
      </w:r>
    </w:p>
    <w:p w14:paraId="2E000000">
      <w:pPr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Показатели муниципальной программы</w:t>
      </w:r>
    </w:p>
    <w:p w14:paraId="2F000000">
      <w:pPr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8"/>
        <w:gridCol w:w="2774"/>
        <w:gridCol w:w="1200"/>
        <w:gridCol w:w="2644"/>
        <w:gridCol w:w="851"/>
        <w:gridCol w:w="850"/>
        <w:gridCol w:w="711"/>
        <w:gridCol w:w="707"/>
        <w:gridCol w:w="826"/>
        <w:gridCol w:w="850"/>
        <w:gridCol w:w="2228"/>
      </w:tblGrid>
      <w:tr>
        <w:tc>
          <w:tcPr>
            <w:tcW w:type="dxa" w:w="4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type="dxa" w:w="27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26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9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 по годам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>
        <w:tc>
          <w:tcPr>
            <w:tcW w:type="dxa" w:w="141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Цель: ведение достоверного учета объектов муниципальной собственности и правоотношений.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  <w:p w14:paraId="4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before="0" w:line="240" w:lineRule="auto"/>
              <w:ind/>
              <w:rPr>
                <w:rFonts w:ascii="Calibri" w:hAnsi="Calibri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before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Взносы в уставный капитал хозяйствующих </w:t>
            </w:r>
            <w:r>
              <w:rPr>
                <w:rFonts w:ascii="Times New Roman" w:hAnsi="Times New Roman"/>
                <w:sz w:val="28"/>
              </w:rPr>
              <w:t>субъектов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Комитет по управлению имуществом и земельными </w:t>
            </w:r>
            <w:r>
              <w:rPr>
                <w:rFonts w:ascii="Times New Roman" w:hAnsi="Times New Roman"/>
                <w:sz w:val="28"/>
              </w:rPr>
              <w:t>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1.5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приобретаемых транспортных средств и специализированной техники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80000000">
      <w:pPr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3" w:name="P688"/>
      <w:bookmarkEnd w:id="3"/>
    </w:p>
    <w:p w14:paraId="81000000">
      <w:pPr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План достижения показателей</w:t>
      </w:r>
    </w:p>
    <w:p w14:paraId="82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в 2025 году</w:t>
      </w:r>
    </w:p>
    <w:p w14:paraId="83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</w:t>
            </w:r>
          </w:p>
          <w:p w14:paraId="8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муниципальной программы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конец</w:t>
            </w:r>
          </w:p>
          <w:p w14:paraId="8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проведенных торгов по муниципальному имуществу и земельным </w:t>
            </w:r>
            <w:r>
              <w:rPr>
                <w:rFonts w:ascii="Times New Roman" w:hAnsi="Times New Roman"/>
                <w:sz w:val="28"/>
              </w:rPr>
              <w:t>участкам в процентах к общему количеству запланированных торгов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от проведенных проверок муниципальных зданий и помещений в процентах к общему количеству запланированных проверок для контроля за </w:t>
            </w:r>
            <w:r>
              <w:rPr>
                <w:rFonts w:ascii="Times New Roman" w:hAnsi="Times New Roman"/>
                <w:sz w:val="28"/>
              </w:rPr>
              <w:t>использованием муниципального имущества (за исключением земельных отношений)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приобретаемых транспортных средств и специализированной техники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</w:t>
            </w:r>
          </w:p>
        </w:tc>
      </w:tr>
    </w:tbl>
    <w:p w14:paraId="F1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bookmarkStart w:id="4" w:name="P804"/>
      <w:bookmarkEnd w:id="4"/>
      <w:r>
        <w:br w:type="page"/>
      </w:r>
      <w:r>
        <w:t>4</w:t>
      </w:r>
      <w:r>
        <w:rPr>
          <w:rFonts w:ascii="Times New Roman" w:hAnsi="Times New Roman"/>
          <w:sz w:val="28"/>
        </w:rPr>
        <w:t>.  Структура муниципальной программы</w:t>
      </w:r>
    </w:p>
    <w:p w14:paraId="F2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6944"/>
        <w:gridCol w:w="3858"/>
        <w:gridCol w:w="2910"/>
      </w:tblGrid>
      <w:tr>
        <w:trPr>
          <w:tblHeader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структурного элемента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показателями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1456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Направление  «Управление муниципальным имуществом и земельными отношениями»</w:t>
            </w:r>
          </w:p>
        </w:tc>
      </w:tr>
      <w:tr>
        <w:tc>
          <w:tcPr>
            <w:tcW w:type="dxa" w:w="1456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numPr>
                <w:ilvl w:val="1"/>
                <w:numId w:val="1"/>
              </w:num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76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1.1.1.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C55A11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участок в процентах к общему количеству запланированных торгов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Вовлечение в хозяйственный оборот  муниципального имущества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</w:tr>
      <w:tr>
        <w:trPr>
          <w:trHeight w:hRule="atLeast" w:val="626"/>
        </w:trPr>
        <w:tc>
          <w:tcPr>
            <w:tcW w:type="dxa" w:w="1456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widowControl w:val="0"/>
              <w:numPr>
                <w:ilvl w:val="1"/>
                <w:numId w:val="2"/>
              </w:num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Комплекс процессных мероприятий «Увеличение уставного капитала хозяйствующих субъектов»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76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 Взносы в уставный капитал хозяйствующих субъектов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</w:t>
            </w: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</w:tr>
      <w:tr>
        <w:tc>
          <w:tcPr>
            <w:tcW w:type="dxa" w:w="1456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before="0" w:line="240" w:lineRule="auto"/>
              <w:ind w:firstLine="0" w:left="36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1.3. Комплекс процессных мероприятий  «</w:t>
            </w:r>
            <w:r>
              <w:rPr>
                <w:rFonts w:ascii="Times New Roman" w:hAnsi="Times New Roman"/>
                <w:sz w:val="28"/>
              </w:rPr>
              <w:t>Приобретение транспортных средств и специализированной техники в муниципальную собственность</w:t>
            </w:r>
            <w:r>
              <w:rPr>
                <w:rFonts w:ascii="XO Thames" w:hAnsi="XO Thames"/>
                <w:sz w:val="28"/>
              </w:rPr>
              <w:t>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76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 xml:space="preserve">. Приобретение транспортных средств и специализированной техники </w:t>
            </w:r>
            <w:bookmarkStart w:id="5" w:name="_GoBack"/>
            <w:bookmarkEnd w:id="5"/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приобретаемых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2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приобретенных транспортных средств и специализированной техники</w:t>
            </w:r>
          </w:p>
          <w:p w14:paraId="1901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</w:tbl>
    <w:p w14:paraId="1A01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1B01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6" w:name="P877"/>
      <w:bookmarkEnd w:id="6"/>
      <w:r>
        <w:br w:type="page"/>
      </w:r>
    </w:p>
    <w:p w14:paraId="1C01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Финансовое обеспечение муниципальной программы</w:t>
      </w:r>
    </w:p>
    <w:p w14:paraId="1D01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</w:tblPr>
      <w:tblGrid>
        <w:gridCol w:w="3965"/>
        <w:gridCol w:w="1560"/>
        <w:gridCol w:w="1703"/>
        <w:gridCol w:w="1557"/>
        <w:gridCol w:w="1559"/>
        <w:gridCol w:w="1560"/>
        <w:gridCol w:w="1703"/>
        <w:gridCol w:w="1556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7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8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9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A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B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C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D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E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Всего, в </w:t>
            </w:r>
            <w:r>
              <w:rPr>
                <w:rFonts w:ascii="Times New Roman" w:hAnsi="Times New Roman"/>
                <w:sz w:val="28"/>
              </w:rPr>
              <w:t>т.ч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256 112,96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146 645,03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151 630,95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widowControl w:val="0"/>
              <w:ind/>
            </w:pPr>
            <w:r>
              <w:rPr>
                <w:rFonts w:ascii="Times New Roman" w:hAnsi="Times New Roman"/>
                <w:sz w:val="28"/>
              </w:rPr>
              <w:t>970 653,03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256 112,96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146 645,03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151 630,95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ind/>
            </w:pPr>
            <w:r>
              <w:rPr>
                <w:rFonts w:ascii="Times New Roman" w:hAnsi="Times New Roman"/>
                <w:sz w:val="28"/>
              </w:rPr>
              <w:t>970 653,03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1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налоговых расходов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</w:tbl>
    <w:p w14:paraId="5F01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color w:val="C55A11"/>
          <w:sz w:val="28"/>
        </w:rPr>
      </w:pPr>
    </w:p>
    <w:p w14:paraId="60010000">
      <w:pPr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bookmarkStart w:id="7" w:name="P1382"/>
      <w:bookmarkEnd w:id="7"/>
    </w:p>
    <w:sectPr>
      <w:pgSz w:h="11908" w:orient="landscape" w:w="16848"/>
      <w:pgMar w:bottom="1134" w:footer="0" w:gutter="0" w:header="0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abstractNum w:abstractNumId="1">
    <w:lvl w:ilvl="0">
      <w:start w:val="1"/>
      <w:numFmt w:val="decimal"/>
      <w:lvlText w:val="%1"/>
      <w:lvlJc w:val="left"/>
      <w:pPr>
        <w:ind w:hanging="375" w:left="375"/>
      </w:pPr>
    </w:lvl>
    <w:lvl w:ilvl="1">
      <w:start w:val="2"/>
      <w:numFmt w:val="decimal"/>
      <w:lvlText w:val="%1.%2"/>
      <w:lvlJc w:val="left"/>
      <w:pPr>
        <w:ind w:hanging="375" w:left="375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1080" w:left="1080"/>
      </w:pPr>
    </w:lvl>
    <w:lvl w:ilvl="4">
      <w:start w:val="1"/>
      <w:numFmt w:val="decimal"/>
      <w:lvlText w:val="%1.%2.%3.%4.%5"/>
      <w:lvlJc w:val="left"/>
      <w:pPr>
        <w:ind w:hanging="1080" w:left="1080"/>
      </w:pPr>
    </w:lvl>
    <w:lvl w:ilvl="5">
      <w:start w:val="1"/>
      <w:numFmt w:val="decimal"/>
      <w:lvlText w:val="%1.%2.%3.%4.%5.%6"/>
      <w:lvlJc w:val="left"/>
      <w:pPr>
        <w:ind w:hanging="1440" w:left="1440"/>
      </w:pPr>
    </w:lvl>
    <w:lvl w:ilvl="6">
      <w:start w:val="1"/>
      <w:numFmt w:val="decimal"/>
      <w:lvlText w:val="%1.%2.%3.%4.%5.%6.%7"/>
      <w:lvlJc w:val="left"/>
      <w:pPr>
        <w:ind w:hanging="1440" w:left="1440"/>
      </w:pPr>
    </w:lvl>
    <w:lvl w:ilvl="7">
      <w:start w:val="1"/>
      <w:numFmt w:val="decimal"/>
      <w:lvlText w:val="%1.%2.%3.%4.%5.%6.%7.%8"/>
      <w:lvlJc w:val="left"/>
      <w:pPr>
        <w:ind w:hanging="1800" w:left="1800"/>
      </w:pPr>
    </w:lvl>
    <w:lvl w:ilvl="8">
      <w:start w:val="1"/>
      <w:numFmt w:val="decimal"/>
      <w:lvlText w:val="%1.%2.%3.%4.%5.%6.%7.%8.%9"/>
      <w:lvlJc w:val="left"/>
      <w:pPr>
        <w:ind w:hanging="2160" w:left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Contents 7"/>
    <w:link w:val="Style_6_ch"/>
    <w:rPr>
      <w:rFonts w:ascii="XO Thames" w:hAnsi="XO Thames"/>
      <w:sz w:val="28"/>
    </w:rPr>
  </w:style>
  <w:style w:styleId="Style_6_ch" w:type="character">
    <w:name w:val="Contents 7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List"/>
    <w:basedOn w:val="Style_9"/>
    <w:link w:val="Style_8_ch"/>
    <w:rPr>
      <w:rFonts w:ascii="PT Astra Serif" w:hAnsi="PT Astra Serif"/>
    </w:rPr>
  </w:style>
  <w:style w:styleId="Style_8_ch" w:type="character">
    <w:name w:val="List"/>
    <w:basedOn w:val="Style_9_ch"/>
    <w:link w:val="Style_8"/>
    <w:rPr>
      <w:rFonts w:ascii="PT Astra Serif" w:hAnsi="PT Astra Serif"/>
    </w:rPr>
  </w:style>
  <w:style w:styleId="Style_10" w:type="paragraph">
    <w:name w:val="toc 6"/>
    <w:next w:val="Style_4"/>
    <w:link w:val="Style_10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Contents 6"/>
    <w:link w:val="Style_12_ch"/>
    <w:rPr>
      <w:rFonts w:ascii="XO Thames" w:hAnsi="XO Thames"/>
      <w:sz w:val="28"/>
    </w:rPr>
  </w:style>
  <w:style w:styleId="Style_12_ch" w:type="character">
    <w:name w:val="Contents 6"/>
    <w:link w:val="Style_12"/>
    <w:rPr>
      <w:rFonts w:ascii="XO Thames" w:hAnsi="XO Thames"/>
      <w:sz w:val="28"/>
    </w:rPr>
  </w:style>
  <w:style w:styleId="Style_13" w:type="paragraph">
    <w:name w:val="Гиперссылка2"/>
    <w:link w:val="Style_13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3_ch" w:type="character">
    <w:name w:val="Гиперссылка2"/>
    <w:link w:val="Style_13"/>
    <w:rPr>
      <w:rFonts w:ascii="Calibri" w:hAnsi="Calibri"/>
      <w:color w:val="0000FF"/>
      <w:u w:val="single"/>
    </w:rPr>
  </w:style>
  <w:style w:styleId="Style_14" w:type="paragraph">
    <w:name w:val="Заголовок1"/>
    <w:link w:val="Style_14_ch"/>
    <w:rPr>
      <w:rFonts w:ascii="XO Thames" w:hAnsi="XO Thames"/>
      <w:b w:val="1"/>
      <w:caps w:val="1"/>
      <w:sz w:val="40"/>
    </w:rPr>
  </w:style>
  <w:style w:styleId="Style_14_ch" w:type="character">
    <w:name w:val="Заголовок1"/>
    <w:link w:val="Style_14"/>
    <w:rPr>
      <w:rFonts w:ascii="XO Thames" w:hAnsi="XO Thames"/>
      <w:b w:val="1"/>
      <w:caps w:val="1"/>
      <w:sz w:val="40"/>
    </w:rPr>
  </w:style>
  <w:style w:styleId="Style_15" w:type="paragraph">
    <w:name w:val="Знак примечания2"/>
    <w:basedOn w:val="Style_16"/>
    <w:link w:val="Style_15_ch"/>
    <w:rPr>
      <w:sz w:val="16"/>
    </w:rPr>
  </w:style>
  <w:style w:styleId="Style_15_ch" w:type="character">
    <w:name w:val="Знак примечания2"/>
    <w:basedOn w:val="Style_16_ch"/>
    <w:link w:val="Style_15"/>
    <w:rPr>
      <w:sz w:val="16"/>
    </w:rPr>
  </w:style>
  <w:style w:styleId="Style_17" w:type="paragraph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17_ch"/>
    <w:pPr>
      <w:spacing w:after="160" w:line="264" w:lineRule="auto"/>
      <w:ind/>
    </w:pPr>
  </w:style>
  <w:style w:styleId="Style_17_ch" w:type="character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17"/>
  </w:style>
  <w:style w:styleId="Style_18" w:type="paragraph">
    <w:name w:val="Endnote"/>
    <w:link w:val="Style_18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8_ch" w:type="character">
    <w:name w:val="Endnote"/>
    <w:link w:val="Style_18"/>
    <w:rPr>
      <w:rFonts w:ascii="XO Thames" w:hAnsi="XO Thames"/>
    </w:rPr>
  </w:style>
  <w:style w:styleId="Style_19" w:type="paragraph">
    <w:name w:val="heading 3"/>
    <w:next w:val="Style_4"/>
    <w:link w:val="Style_19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16" w:type="paragraph">
    <w:name w:val="Основной шрифт абзаца3"/>
    <w:link w:val="Style_16_ch"/>
    <w:pPr>
      <w:spacing w:after="160" w:line="264" w:lineRule="auto"/>
      <w:ind/>
    </w:pPr>
  </w:style>
  <w:style w:styleId="Style_16_ch" w:type="character">
    <w:name w:val="Основной шрифт абзаца3"/>
    <w:link w:val="Style_16"/>
  </w:style>
  <w:style w:styleId="Style_20" w:type="paragraph">
    <w:name w:val="Содержимое таблицы"/>
    <w:basedOn w:val="Style_4"/>
    <w:link w:val="Style_20_ch"/>
    <w:pPr>
      <w:widowControl w:val="0"/>
      <w:ind/>
    </w:pPr>
  </w:style>
  <w:style w:styleId="Style_20_ch" w:type="character">
    <w:name w:val="Содержимое таблицы"/>
    <w:basedOn w:val="Style_4_ch"/>
    <w:link w:val="Style_20"/>
  </w:style>
  <w:style w:styleId="Style_21" w:type="paragraph">
    <w:name w:val="index heading"/>
    <w:basedOn w:val="Style_4"/>
    <w:link w:val="Style_21_ch"/>
    <w:rPr>
      <w:rFonts w:ascii="PT Astra Serif" w:hAnsi="PT Astra Serif"/>
    </w:rPr>
  </w:style>
  <w:style w:styleId="Style_21_ch" w:type="character">
    <w:name w:val="index heading"/>
    <w:basedOn w:val="Style_4_ch"/>
    <w:link w:val="Style_21"/>
    <w:rPr>
      <w:rFonts w:ascii="PT Astra Serif" w:hAnsi="PT Astra Serif"/>
    </w:rPr>
  </w:style>
  <w:style w:styleId="Style_22" w:type="paragraph">
    <w:name w:val="Internet link"/>
    <w:link w:val="Style_22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22_ch" w:type="character">
    <w:name w:val="Internet link"/>
    <w:link w:val="Style_22"/>
    <w:rPr>
      <w:rFonts w:ascii="Calibri" w:hAnsi="Calibri"/>
      <w:color w:val="0000FF"/>
      <w:u w:val="single"/>
    </w:rPr>
  </w:style>
  <w:style w:styleId="Style_23" w:type="paragraph">
    <w:name w:val="Заголовок таблицы"/>
    <w:basedOn w:val="Style_20"/>
    <w:link w:val="Style_23_ch"/>
    <w:pPr>
      <w:ind/>
      <w:jc w:val="center"/>
    </w:pPr>
    <w:rPr>
      <w:b w:val="1"/>
    </w:rPr>
  </w:style>
  <w:style w:styleId="Style_23_ch" w:type="character">
    <w:name w:val="Заголовок таблицы"/>
    <w:basedOn w:val="Style_20_ch"/>
    <w:link w:val="Style_23"/>
    <w:rPr>
      <w:b w:val="1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Contents 3"/>
    <w:link w:val="Style_25_ch"/>
    <w:rPr>
      <w:rFonts w:ascii="XO Thames" w:hAnsi="XO Thames"/>
      <w:sz w:val="28"/>
    </w:rPr>
  </w:style>
  <w:style w:styleId="Style_25_ch" w:type="character">
    <w:name w:val="Contents 3"/>
    <w:link w:val="Style_25"/>
    <w:rPr>
      <w:rFonts w:ascii="XO Thames" w:hAnsi="XO Thames"/>
      <w:sz w:val="28"/>
    </w:rPr>
  </w:style>
  <w:style w:styleId="Style_26" w:type="paragraph">
    <w:name w:val="Знак примечания1"/>
    <w:basedOn w:val="Style_27"/>
    <w:link w:val="Style_26_ch"/>
    <w:rPr>
      <w:sz w:val="16"/>
    </w:rPr>
  </w:style>
  <w:style w:styleId="Style_26_ch" w:type="character">
    <w:name w:val="Знак примечания1"/>
    <w:basedOn w:val="Style_27_ch"/>
    <w:link w:val="Style_26"/>
    <w:rPr>
      <w:sz w:val="16"/>
    </w:rPr>
  </w:style>
  <w:style w:styleId="Style_28" w:type="paragraph">
    <w:name w:val="annotation subject"/>
    <w:basedOn w:val="Style_29"/>
    <w:next w:val="Style_29"/>
    <w:link w:val="Style_28_ch"/>
    <w:rPr>
      <w:b w:val="1"/>
    </w:rPr>
  </w:style>
  <w:style w:styleId="Style_28_ch" w:type="character">
    <w:name w:val="annotation subject"/>
    <w:basedOn w:val="Style_29_ch"/>
    <w:link w:val="Style_28"/>
    <w:rPr>
      <w:b w:val="1"/>
    </w:rPr>
  </w:style>
  <w:style w:styleId="Style_30" w:type="paragraph">
    <w:name w:val="toc 3"/>
    <w:next w:val="Style_4"/>
    <w:link w:val="Style_30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Заголовок 41"/>
    <w:link w:val="Style_31_ch"/>
    <w:rPr>
      <w:rFonts w:ascii="XO Thames" w:hAnsi="XO Thames"/>
      <w:b w:val="1"/>
      <w:sz w:val="24"/>
    </w:rPr>
  </w:style>
  <w:style w:styleId="Style_31_ch" w:type="character">
    <w:name w:val="Заголовок 41"/>
    <w:link w:val="Style_31"/>
    <w:rPr>
      <w:rFonts w:ascii="XO Thames" w:hAnsi="XO Thames"/>
      <w:b w:val="1"/>
      <w:sz w:val="24"/>
    </w:rPr>
  </w:style>
  <w:style w:styleId="Style_32" w:type="paragraph">
    <w:name w:val="Contents 5"/>
    <w:link w:val="Style_32_ch"/>
    <w:rPr>
      <w:rFonts w:ascii="XO Thames" w:hAnsi="XO Thames"/>
      <w:sz w:val="28"/>
    </w:rPr>
  </w:style>
  <w:style w:styleId="Style_32_ch" w:type="character">
    <w:name w:val="Contents 5"/>
    <w:link w:val="Style_32"/>
    <w:rPr>
      <w:rFonts w:ascii="XO Thames" w:hAnsi="XO Thames"/>
      <w:sz w:val="28"/>
    </w:rPr>
  </w:style>
  <w:style w:styleId="Style_33" w:type="paragraph">
    <w:name w:val="Выделение1"/>
    <w:basedOn w:val="Style_27"/>
    <w:link w:val="Style_33_ch"/>
    <w:rPr>
      <w:i w:val="1"/>
    </w:rPr>
  </w:style>
  <w:style w:styleId="Style_33_ch" w:type="character">
    <w:name w:val="Выделение1"/>
    <w:basedOn w:val="Style_27_ch"/>
    <w:link w:val="Style_33"/>
    <w:rPr>
      <w:i w:val="1"/>
    </w:rPr>
  </w:style>
  <w:style w:styleId="Style_34" w:type="paragraph">
    <w:name w:val="Balloon Text"/>
    <w:basedOn w:val="Style_4"/>
    <w:link w:val="Style_34_ch"/>
    <w:pPr>
      <w:spacing w:after="0" w:line="240" w:lineRule="auto"/>
      <w:ind/>
    </w:pPr>
    <w:rPr>
      <w:rFonts w:ascii="Segoe UI" w:hAnsi="Segoe UI"/>
      <w:sz w:val="18"/>
    </w:rPr>
  </w:style>
  <w:style w:styleId="Style_34_ch" w:type="character">
    <w:name w:val="Balloon Text"/>
    <w:basedOn w:val="Style_4_ch"/>
    <w:link w:val="Style_34"/>
    <w:rPr>
      <w:rFonts w:ascii="Segoe UI" w:hAnsi="Segoe UI"/>
      <w:sz w:val="18"/>
    </w:rPr>
  </w:style>
  <w:style w:styleId="Style_35" w:type="paragraph">
    <w:name w:val="Заголовок 21"/>
    <w:link w:val="Style_35_ch"/>
    <w:rPr>
      <w:rFonts w:ascii="XO Thames" w:hAnsi="XO Thames"/>
      <w:b w:val="1"/>
      <w:sz w:val="28"/>
    </w:rPr>
  </w:style>
  <w:style w:styleId="Style_35_ch" w:type="character">
    <w:name w:val="Заголовок 21"/>
    <w:link w:val="Style_35"/>
    <w:rPr>
      <w:rFonts w:ascii="XO Thames" w:hAnsi="XO Thames"/>
      <w:b w:val="1"/>
      <w:sz w:val="28"/>
    </w:rPr>
  </w:style>
  <w:style w:styleId="Style_36" w:type="paragraph">
    <w:name w:val="Заголовок 51"/>
    <w:link w:val="Style_36_ch"/>
    <w:rPr>
      <w:rFonts w:ascii="XO Thames" w:hAnsi="XO Thames"/>
      <w:b w:val="1"/>
    </w:rPr>
  </w:style>
  <w:style w:styleId="Style_36_ch" w:type="character">
    <w:name w:val="Заголовок 51"/>
    <w:link w:val="Style_36"/>
    <w:rPr>
      <w:rFonts w:ascii="XO Thames" w:hAnsi="XO Thames"/>
      <w:b w:val="1"/>
    </w:rPr>
  </w:style>
  <w:style w:styleId="Style_37" w:type="paragraph">
    <w:name w:val="Contents 8"/>
    <w:link w:val="Style_37_ch"/>
    <w:rPr>
      <w:rFonts w:ascii="XO Thames" w:hAnsi="XO Thames"/>
      <w:sz w:val="28"/>
    </w:rPr>
  </w:style>
  <w:style w:styleId="Style_37_ch" w:type="character">
    <w:name w:val="Contents 8"/>
    <w:link w:val="Style_37"/>
    <w:rPr>
      <w:rFonts w:ascii="XO Thames" w:hAnsi="XO Thames"/>
      <w:sz w:val="28"/>
    </w:rPr>
  </w:style>
  <w:style w:styleId="Style_38" w:type="paragraph">
    <w:name w:val="heading 5"/>
    <w:next w:val="Style_4"/>
    <w:link w:val="Style_38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8_ch" w:type="character">
    <w:name w:val="heading 5"/>
    <w:link w:val="Style_38"/>
    <w:rPr>
      <w:rFonts w:ascii="XO Thames" w:hAnsi="XO Thames"/>
      <w:b w:val="1"/>
    </w:rPr>
  </w:style>
  <w:style w:styleId="Style_39" w:type="paragraph">
    <w:name w:val="ConsPlusTitle"/>
    <w:link w:val="Style_39_ch"/>
    <w:pPr>
      <w:widowControl w:val="0"/>
      <w:ind/>
    </w:pPr>
    <w:rPr>
      <w:b w:val="1"/>
    </w:rPr>
  </w:style>
  <w:style w:styleId="Style_39_ch" w:type="character">
    <w:name w:val="ConsPlusTitle"/>
    <w:link w:val="Style_39"/>
    <w:rPr>
      <w:b w:val="1"/>
    </w:rPr>
  </w:style>
  <w:style w:styleId="Style_40" w:type="paragraph">
    <w:name w:val="heading 1"/>
    <w:basedOn w:val="Style_4"/>
    <w:next w:val="Style_4"/>
    <w:link w:val="Style_40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40_ch" w:type="character">
    <w:name w:val="heading 1"/>
    <w:basedOn w:val="Style_4_ch"/>
    <w:link w:val="Style_40"/>
    <w:rPr>
      <w:rFonts w:ascii="Times New Roman CYR" w:hAnsi="Times New Roman CYR"/>
      <w:b w:val="1"/>
      <w:color w:val="26282F"/>
      <w:sz w:val="24"/>
    </w:rPr>
  </w:style>
  <w:style w:styleId="Style_41" w:type="paragraph">
    <w:name w:val="Contents 2"/>
    <w:link w:val="Style_41_ch"/>
    <w:rPr>
      <w:rFonts w:ascii="XO Thames" w:hAnsi="XO Thames"/>
      <w:sz w:val="28"/>
    </w:rPr>
  </w:style>
  <w:style w:styleId="Style_41_ch" w:type="character">
    <w:name w:val="Contents 2"/>
    <w:link w:val="Style_41"/>
    <w:rPr>
      <w:rFonts w:ascii="XO Thames" w:hAnsi="XO Thames"/>
      <w:sz w:val="28"/>
    </w:rPr>
  </w:style>
  <w:style w:styleId="Style_29" w:type="paragraph">
    <w:name w:val="annotation text"/>
    <w:basedOn w:val="Style_4"/>
    <w:link w:val="Style_29_ch"/>
    <w:pPr>
      <w:spacing w:line="240" w:lineRule="auto"/>
      <w:ind/>
    </w:pPr>
    <w:rPr>
      <w:sz w:val="20"/>
    </w:rPr>
  </w:style>
  <w:style w:styleId="Style_29_ch" w:type="character">
    <w:name w:val="annotation text"/>
    <w:basedOn w:val="Style_4_ch"/>
    <w:link w:val="Style_29"/>
    <w:rPr>
      <w:sz w:val="20"/>
    </w:rPr>
  </w:style>
  <w:style w:styleId="Style_42" w:type="paragraph">
    <w:name w:val="Contents 1"/>
    <w:link w:val="Style_42_ch"/>
    <w:rPr>
      <w:rFonts w:ascii="XO Thames" w:hAnsi="XO Thames"/>
      <w:b w:val="1"/>
      <w:sz w:val="28"/>
    </w:rPr>
  </w:style>
  <w:style w:styleId="Style_42_ch" w:type="character">
    <w:name w:val="Contents 1"/>
    <w:link w:val="Style_42"/>
    <w:rPr>
      <w:rFonts w:ascii="XO Thames" w:hAnsi="XO Thames"/>
      <w:b w:val="1"/>
      <w:sz w:val="28"/>
    </w:rPr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link w:val="Style_44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4_ch" w:type="character">
    <w:name w:val="Footnote"/>
    <w:link w:val="Style_44"/>
    <w:rPr>
      <w:rFonts w:ascii="XO Thames" w:hAnsi="XO Thames"/>
    </w:rPr>
  </w:style>
  <w:style w:styleId="Style_9" w:type="paragraph">
    <w:name w:val="Body Text"/>
    <w:basedOn w:val="Style_4"/>
    <w:link w:val="Style_9_ch"/>
    <w:pPr>
      <w:spacing w:after="140"/>
      <w:ind/>
    </w:pPr>
  </w:style>
  <w:style w:styleId="Style_9_ch" w:type="character">
    <w:name w:val="Body Text"/>
    <w:basedOn w:val="Style_4_ch"/>
    <w:link w:val="Style_9"/>
  </w:style>
  <w:style w:styleId="Style_45" w:type="paragraph">
    <w:name w:val="toc 1"/>
    <w:next w:val="Style_4"/>
    <w:link w:val="Style_45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5_ch" w:type="character">
    <w:name w:val="toc 1"/>
    <w:link w:val="Style_45"/>
    <w:rPr>
      <w:rFonts w:ascii="XO Thames" w:hAnsi="XO Thames"/>
      <w:b w:val="1"/>
      <w:sz w:val="28"/>
    </w:rPr>
  </w:style>
  <w:style w:styleId="Style_46" w:type="paragraph">
    <w:name w:val="Строгий1"/>
    <w:basedOn w:val="Style_27"/>
    <w:link w:val="Style_46_ch"/>
    <w:rPr>
      <w:b w:val="1"/>
    </w:rPr>
  </w:style>
  <w:style w:styleId="Style_46_ch" w:type="character">
    <w:name w:val="Строгий1"/>
    <w:basedOn w:val="Style_27_ch"/>
    <w:link w:val="Style_46"/>
    <w:rPr>
      <w:b w:val="1"/>
    </w:rPr>
  </w:style>
  <w:style w:styleId="Style_47" w:type="paragraph">
    <w:name w:val="Header and Footer"/>
    <w:link w:val="Style_47_ch"/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Заголовок 11"/>
    <w:link w:val="Style_48_ch"/>
    <w:rPr>
      <w:rFonts w:ascii="Times New Roman CYR" w:hAnsi="Times New Roman CYR"/>
      <w:b w:val="1"/>
      <w:color w:val="26282F"/>
      <w:sz w:val="24"/>
    </w:rPr>
  </w:style>
  <w:style w:styleId="Style_48_ch" w:type="character">
    <w:name w:val="Заголовок 11"/>
    <w:link w:val="Style_48"/>
    <w:rPr>
      <w:rFonts w:ascii="Times New Roman CYR" w:hAnsi="Times New Roman CYR"/>
      <w:b w:val="1"/>
      <w:color w:val="26282F"/>
      <w:sz w:val="24"/>
    </w:rPr>
  </w:style>
  <w:style w:styleId="Style_49" w:type="paragraph">
    <w:name w:val="toc 9"/>
    <w:next w:val="Style_4"/>
    <w:link w:val="Style_49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9_ch" w:type="character">
    <w:name w:val="toc 9"/>
    <w:link w:val="Style_49"/>
    <w:rPr>
      <w:rFonts w:ascii="XO Thames" w:hAnsi="XO Thames"/>
      <w:sz w:val="28"/>
    </w:rPr>
  </w:style>
  <w:style w:styleId="Style_50" w:type="paragraph">
    <w:name w:val="Contents 4"/>
    <w:link w:val="Style_50_ch"/>
    <w:rPr>
      <w:rFonts w:ascii="XO Thames" w:hAnsi="XO Thames"/>
      <w:sz w:val="28"/>
    </w:rPr>
  </w:style>
  <w:style w:styleId="Style_50_ch" w:type="character">
    <w:name w:val="Contents 4"/>
    <w:link w:val="Style_50"/>
    <w:rPr>
      <w:rFonts w:ascii="XO Thames" w:hAnsi="XO Thames"/>
      <w:sz w:val="28"/>
    </w:rPr>
  </w:style>
  <w:style w:styleId="Style_51" w:type="paragraph">
    <w:name w:val="Основной шрифт абзаца2"/>
    <w:link w:val="Style_51_ch"/>
    <w:pPr>
      <w:spacing w:after="160" w:line="264" w:lineRule="auto"/>
      <w:ind/>
    </w:pPr>
  </w:style>
  <w:style w:styleId="Style_51_ch" w:type="character">
    <w:name w:val="Основной шрифт абзаца2"/>
    <w:link w:val="Style_51"/>
  </w:style>
  <w:style w:styleId="Style_52" w:type="paragraph">
    <w:name w:val="toc 8"/>
    <w:next w:val="Style_4"/>
    <w:link w:val="Style_52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2_ch" w:type="character">
    <w:name w:val="toc 8"/>
    <w:link w:val="Style_52"/>
    <w:rPr>
      <w:rFonts w:ascii="XO Thames" w:hAnsi="XO Thames"/>
      <w:sz w:val="28"/>
    </w:rPr>
  </w:style>
  <w:style w:styleId="Style_53" w:type="paragraph">
    <w:name w:val="ConsPlusNormal"/>
    <w:link w:val="Style_53_ch"/>
    <w:pPr>
      <w:widowControl w:val="0"/>
      <w:ind/>
    </w:pPr>
  </w:style>
  <w:style w:styleId="Style_53_ch" w:type="character">
    <w:name w:val="ConsPlusNormal"/>
    <w:link w:val="Style_53"/>
  </w:style>
  <w:style w:styleId="Style_54" w:type="paragraph">
    <w:name w:val="Подзаголовок1"/>
    <w:link w:val="Style_54_ch"/>
    <w:rPr>
      <w:rFonts w:ascii="XO Thames" w:hAnsi="XO Thames"/>
      <w:i w:val="1"/>
      <w:sz w:val="24"/>
    </w:rPr>
  </w:style>
  <w:style w:styleId="Style_54_ch" w:type="character">
    <w:name w:val="Подзаголовок1"/>
    <w:link w:val="Style_54"/>
    <w:rPr>
      <w:rFonts w:ascii="XO Thames" w:hAnsi="XO Thames"/>
      <w:i w:val="1"/>
      <w:sz w:val="24"/>
    </w:rPr>
  </w:style>
  <w:style w:styleId="Style_55" w:type="paragraph">
    <w:name w:val="Гиперссылка1"/>
    <w:link w:val="Style_55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55_ch" w:type="character">
    <w:name w:val="Гиперссылка1"/>
    <w:link w:val="Style_55"/>
    <w:rPr>
      <w:rFonts w:ascii="Calibri" w:hAnsi="Calibri"/>
      <w:color w:val="0000FF"/>
      <w:u w:val="single"/>
    </w:rPr>
  </w:style>
  <w:style w:styleId="Style_56" w:type="paragraph">
    <w:name w:val="toc 5"/>
    <w:next w:val="Style_4"/>
    <w:link w:val="Style_56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6_ch" w:type="character">
    <w:name w:val="toc 5"/>
    <w:link w:val="Style_56"/>
    <w:rPr>
      <w:rFonts w:ascii="XO Thames" w:hAnsi="XO Thames"/>
      <w:sz w:val="28"/>
    </w:rPr>
  </w:style>
  <w:style w:styleId="Style_57" w:type="paragraph">
    <w:name w:val="Обычный1"/>
    <w:link w:val="Style_57_ch"/>
    <w:pPr>
      <w:spacing w:after="160" w:line="264" w:lineRule="auto"/>
      <w:ind/>
    </w:pPr>
  </w:style>
  <w:style w:styleId="Style_57_ch" w:type="character">
    <w:name w:val="Обычный1"/>
    <w:link w:val="Style_57"/>
  </w:style>
  <w:style w:styleId="Style_58" w:type="paragraph">
    <w:name w:val="Contents 9"/>
    <w:link w:val="Style_58_ch"/>
    <w:rPr>
      <w:rFonts w:ascii="XO Thames" w:hAnsi="XO Thames"/>
      <w:sz w:val="28"/>
    </w:rPr>
  </w:style>
  <w:style w:styleId="Style_58_ch" w:type="character">
    <w:name w:val="Contents 9"/>
    <w:link w:val="Style_58"/>
    <w:rPr>
      <w:rFonts w:ascii="XO Thames" w:hAnsi="XO Thames"/>
      <w:sz w:val="28"/>
    </w:rPr>
  </w:style>
  <w:style w:styleId="Style_59" w:type="paragraph">
    <w:name w:val="Subtitle"/>
    <w:next w:val="Style_4"/>
    <w:link w:val="Style_59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59_ch" w:type="character">
    <w:name w:val="Subtitle"/>
    <w:link w:val="Style_59"/>
    <w:rPr>
      <w:rFonts w:ascii="XO Thames" w:hAnsi="XO Thames"/>
      <w:i w:val="1"/>
      <w:sz w:val="24"/>
    </w:rPr>
  </w:style>
  <w:style w:styleId="Style_60" w:type="paragraph">
    <w:name w:val="Заголовок 31"/>
    <w:link w:val="Style_60_ch"/>
    <w:rPr>
      <w:rFonts w:ascii="XO Thames" w:hAnsi="XO Thames"/>
      <w:b w:val="1"/>
      <w:sz w:val="26"/>
    </w:rPr>
  </w:style>
  <w:style w:styleId="Style_60_ch" w:type="character">
    <w:name w:val="Заголовок 31"/>
    <w:link w:val="Style_60"/>
    <w:rPr>
      <w:rFonts w:ascii="XO Thames" w:hAnsi="XO Thames"/>
      <w:b w:val="1"/>
      <w:sz w:val="26"/>
    </w:rPr>
  </w:style>
  <w:style w:styleId="Style_27" w:type="paragraph">
    <w:name w:val="Основной шрифт абзаца1"/>
    <w:link w:val="Style_27_ch"/>
    <w:pPr>
      <w:spacing w:after="160" w:line="264" w:lineRule="auto"/>
      <w:ind/>
    </w:pPr>
  </w:style>
  <w:style w:styleId="Style_27_ch" w:type="character">
    <w:name w:val="Основной шрифт абзаца1"/>
    <w:link w:val="Style_27"/>
  </w:style>
  <w:style w:styleId="Style_61" w:type="paragraph">
    <w:name w:val="Title"/>
    <w:next w:val="Style_9"/>
    <w:link w:val="Style_61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61_ch" w:type="character">
    <w:name w:val="Title"/>
    <w:link w:val="Style_61"/>
    <w:rPr>
      <w:rFonts w:ascii="XO Thames" w:hAnsi="XO Thames"/>
      <w:b w:val="1"/>
      <w:caps w:val="1"/>
      <w:sz w:val="40"/>
    </w:rPr>
  </w:style>
  <w:style w:styleId="Style_62" w:type="paragraph">
    <w:name w:val="heading 4"/>
    <w:next w:val="Style_4"/>
    <w:link w:val="Style_62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2_ch" w:type="character">
    <w:name w:val="heading 4"/>
    <w:link w:val="Style_62"/>
    <w:rPr>
      <w:rFonts w:ascii="XO Thames" w:hAnsi="XO Thames"/>
      <w:b w:val="1"/>
      <w:sz w:val="24"/>
    </w:rPr>
  </w:style>
  <w:style w:styleId="Style_63" w:type="paragraph">
    <w:name w:val="Колонтитул"/>
    <w:link w:val="Style_63_ch"/>
    <w:pPr>
      <w:spacing w:after="160"/>
      <w:ind/>
      <w:jc w:val="both"/>
    </w:pPr>
    <w:rPr>
      <w:rFonts w:ascii="XO Thames" w:hAnsi="XO Thames"/>
      <w:sz w:val="28"/>
    </w:rPr>
  </w:style>
  <w:style w:styleId="Style_63_ch" w:type="character">
    <w:name w:val="Колонтитул"/>
    <w:link w:val="Style_63"/>
    <w:rPr>
      <w:rFonts w:ascii="XO Thames" w:hAnsi="XO Thames"/>
      <w:sz w:val="28"/>
    </w:rPr>
  </w:style>
  <w:style w:styleId="Style_64" w:type="paragraph">
    <w:name w:val="Standard"/>
    <w:link w:val="Style_64_ch"/>
    <w:pPr>
      <w:widowControl w:val="0"/>
      <w:ind w:firstLine="720" w:left="0"/>
      <w:jc w:val="both"/>
    </w:pPr>
    <w:rPr>
      <w:rFonts w:ascii="Arial" w:hAnsi="Arial"/>
      <w:sz w:val="26"/>
    </w:rPr>
  </w:style>
  <w:style w:styleId="Style_64_ch" w:type="character">
    <w:name w:val="Standard"/>
    <w:link w:val="Style_64"/>
    <w:rPr>
      <w:rFonts w:ascii="Arial" w:hAnsi="Arial"/>
      <w:sz w:val="26"/>
    </w:rPr>
  </w:style>
  <w:style w:styleId="Style_65" w:type="paragraph">
    <w:name w:val="Normal (Web)"/>
    <w:basedOn w:val="Style_4"/>
    <w:link w:val="Style_6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5_ch" w:type="character">
    <w:name w:val="Normal (Web)"/>
    <w:basedOn w:val="Style_4_ch"/>
    <w:link w:val="Style_65"/>
    <w:rPr>
      <w:rFonts w:ascii="Times New Roman" w:hAnsi="Times New Roman"/>
      <w:sz w:val="24"/>
    </w:rPr>
  </w:style>
  <w:style w:styleId="Style_66" w:type="paragraph">
    <w:name w:val="heading 2"/>
    <w:next w:val="Style_4"/>
    <w:link w:val="Style_66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6_ch" w:type="character">
    <w:name w:val="heading 2"/>
    <w:link w:val="Style_66"/>
    <w:rPr>
      <w:rFonts w:ascii="XO Thames" w:hAnsi="XO Thames"/>
      <w:b w:val="1"/>
      <w:sz w:val="28"/>
    </w:rPr>
  </w:style>
  <w:style w:styleId="Style_67" w:type="paragraph">
    <w:name w:val="caption"/>
    <w:basedOn w:val="Style_4"/>
    <w:link w:val="Style_67_ch"/>
    <w:pPr>
      <w:spacing w:after="120" w:before="120"/>
      <w:ind/>
    </w:pPr>
    <w:rPr>
      <w:rFonts w:ascii="PT Astra Serif" w:hAnsi="PT Astra Serif"/>
      <w:i w:val="1"/>
      <w:sz w:val="24"/>
    </w:rPr>
  </w:style>
  <w:style w:styleId="Style_67_ch" w:type="character">
    <w:name w:val="caption"/>
    <w:basedOn w:val="Style_4_ch"/>
    <w:link w:val="Style_67"/>
    <w:rPr>
      <w:rFonts w:ascii="PT Astra Serif" w:hAnsi="PT Astra Serif"/>
      <w:i w:val="1"/>
      <w:sz w:val="24"/>
    </w:rPr>
  </w:style>
  <w:style w:styleId="Style_3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2025-05-26T09:47:50Z</dcterms:modified>
</cp:coreProperties>
</file>