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2</w:t>
      </w:r>
    </w:p>
    <w:p w14:paraId="02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к постановлению </w:t>
      </w:r>
      <w:r>
        <w:rPr>
          <w:rFonts w:ascii="Times New Roman" w:hAnsi="Times New Roman"/>
          <w:sz w:val="22"/>
        </w:rPr>
        <w:t xml:space="preserve">администрации </w:t>
      </w:r>
    </w:p>
    <w:p w14:paraId="03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города Магнитогорска</w:t>
      </w:r>
    </w:p>
    <w:p w14:paraId="04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от </w:t>
      </w:r>
      <w:r>
        <w:rPr>
          <w:rFonts w:ascii="Times New Roman" w:hAnsi="Times New Roman"/>
          <w:sz w:val="22"/>
        </w:rPr>
        <w:t>13.05.2025 № 4168-П</w:t>
      </w:r>
    </w:p>
    <w:p w14:paraId="05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</w:p>
    <w:p w14:paraId="06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2</w:t>
      </w:r>
    </w:p>
    <w:p w14:paraId="07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к муниципальной </w:t>
      </w:r>
      <w:r>
        <w:rPr>
          <w:rFonts w:ascii="Times New Roman" w:hAnsi="Times New Roman"/>
          <w:sz w:val="22"/>
        </w:rPr>
        <w:t xml:space="preserve">программе «Выполнение функций </w:t>
      </w:r>
      <w:r>
        <w:rPr>
          <w:rFonts w:ascii="Times New Roman" w:hAnsi="Times New Roman"/>
          <w:sz w:val="22"/>
        </w:rPr>
        <w:t xml:space="preserve">по управлению, владению, </w:t>
      </w:r>
      <w:r>
        <w:rPr>
          <w:rFonts w:ascii="Times New Roman" w:hAnsi="Times New Roman"/>
          <w:sz w:val="22"/>
        </w:rPr>
        <w:t xml:space="preserve">пользованию </w:t>
      </w:r>
    </w:p>
    <w:p w14:paraId="08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и распоряжению муниципальным </w:t>
      </w:r>
      <w:r>
        <w:rPr>
          <w:rFonts w:ascii="Times New Roman" w:hAnsi="Times New Roman"/>
          <w:sz w:val="22"/>
        </w:rPr>
        <w:t xml:space="preserve">имуществом в городе </w:t>
      </w:r>
      <w:r>
        <w:rPr>
          <w:rFonts w:ascii="Times New Roman" w:hAnsi="Times New Roman"/>
          <w:sz w:val="22"/>
        </w:rPr>
        <w:t>Магнитогорске» на 2025 – 2030 годы</w:t>
      </w:r>
    </w:p>
    <w:p w14:paraId="09000000">
      <w:pPr>
        <w:spacing w:after="0" w:line="240" w:lineRule="auto"/>
        <w:ind w:firstLine="0" w:left="7087"/>
        <w:jc w:val="right"/>
        <w:rPr>
          <w:rFonts w:ascii="Times New Roman" w:hAnsi="Times New Roman"/>
          <w:sz w:val="24"/>
        </w:rPr>
      </w:pPr>
    </w:p>
    <w:p w14:paraId="0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bookmarkStart w:id="1" w:name="P2307"/>
      <w:bookmarkEnd w:id="1"/>
      <w:r>
        <w:rPr>
          <w:rFonts w:ascii="Times New Roman" w:hAnsi="Times New Roman"/>
          <w:sz w:val="28"/>
        </w:rPr>
        <w:t>ПАСПОРТ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процессных мероприятий «Управление муниципальным имуществом и земельными отношениями»</w:t>
      </w:r>
    </w:p>
    <w:p w14:paraId="0C000000">
      <w:pPr>
        <w:spacing w:after="0" w:line="240" w:lineRule="auto"/>
        <w:ind/>
        <w:jc w:val="center"/>
        <w:rPr>
          <w:rFonts w:ascii="Times New Roman" w:hAnsi="Times New Roman"/>
          <w:sz w:val="16"/>
        </w:rPr>
      </w:pPr>
    </w:p>
    <w:p w14:paraId="0D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E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16"/>
        </w:rPr>
      </w:pPr>
    </w:p>
    <w:tbl>
      <w:tblPr>
        <w:tblStyle w:val="Style_1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2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14:paraId="11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12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13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Ind w:type="dxa" w:w="-48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2"/>
        <w:gridCol w:w="3569"/>
        <w:gridCol w:w="1840"/>
        <w:gridCol w:w="3611"/>
        <w:gridCol w:w="926"/>
        <w:gridCol w:w="995"/>
        <w:gridCol w:w="776"/>
        <w:gridCol w:w="136"/>
        <w:gridCol w:w="573"/>
        <w:gridCol w:w="150"/>
        <w:gridCol w:w="627"/>
        <w:gridCol w:w="191"/>
        <w:gridCol w:w="573"/>
        <w:gridCol w:w="144"/>
      </w:tblGrid>
      <w:tr>
        <w:tc>
          <w:tcPr>
            <w:tcW w:type="dxa" w:w="8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5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8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6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91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1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1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111"/>
            <w:gridSpan w:val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торгов по муниципальному имуществу и земельным участкам в процентах к общему количеству запланированных торгов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3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1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149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Совершенствование системы учета использования муниципального имущества и земельных отношений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3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 плановых показателей по расходам на содержание муниципального имущества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7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7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76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</w:p>
        </w:tc>
      </w:tr>
      <w:tr>
        <w:tc>
          <w:tcPr>
            <w:tcW w:type="dxa" w:w="149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3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имущества, за исключением земельных участков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3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0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4F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50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51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в 2025 году</w:t>
      </w:r>
    </w:p>
    <w:p w14:paraId="52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>
        <w:trPr>
          <w:trHeight w:hRule="atLeast" w:val="482"/>
        </w:trPr>
        <w:tc>
          <w:tcPr>
            <w:tcW w:type="dxa" w:w="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торгов по муниципальному имуществу и земельным участкам в процентах к общему количеству запланированных торгов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 плановых показателей по расходам на содержание муниципального имущества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90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имущества, за исключением земельных участков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</w:tc>
      </w:tr>
    </w:tbl>
    <w:p w14:paraId="A2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3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A4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3821"/>
        <w:gridCol w:w="1074"/>
        <w:gridCol w:w="1909"/>
        <w:gridCol w:w="1732"/>
        <w:gridCol w:w="839"/>
        <w:gridCol w:w="839"/>
        <w:gridCol w:w="949"/>
        <w:gridCol w:w="948"/>
        <w:gridCol w:w="950"/>
        <w:gridCol w:w="947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0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19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7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  <w:r>
              <w:rPr>
                <w:rStyle w:val="Style_2_ch"/>
                <w:rFonts w:ascii="Times New Roman" w:hAnsi="Times New Roman"/>
                <w:sz w:val="24"/>
              </w:rPr>
              <w:footnoteReference w:id="1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547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Проведены технические инвентаризации муниципального имущества и торги по муниципальному имуществу и земельным участкам </w:t>
            </w:r>
            <w:r>
              <w:rPr>
                <w:rStyle w:val="Style_2_ch"/>
                <w:rFonts w:ascii="Times New Roman" w:hAnsi="Times New Roman"/>
                <w:sz w:val="24"/>
              </w:rPr>
              <w:footnoteReference w:id="2"/>
            </w:r>
            <w:r>
              <w:rPr>
                <w:rFonts w:ascii="Times New Roman" w:hAnsi="Times New Roman"/>
                <w:sz w:val="24"/>
              </w:rPr>
              <w:br/>
            </w:r>
          </w:p>
          <w:p w14:paraId="B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Проведено торгов, техническая инвентаризация объектов нежилого </w:t>
            </w:r>
            <w:r>
              <w:rPr>
                <w:rFonts w:ascii="Times New Roman" w:hAnsi="Times New Roman"/>
                <w:sz w:val="24"/>
              </w:rPr>
              <w:t>фонда, проверок</w:t>
            </w:r>
          </w:p>
        </w:tc>
        <w:tc>
          <w:tcPr>
            <w:tcW w:type="dxa" w:w="1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200</w:t>
            </w:r>
          </w:p>
          <w:p w14:paraId="C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ED7D31"/>
                <w:sz w:val="24"/>
              </w:rPr>
            </w:pP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</w:tr>
      <w:tr>
        <w:trPr>
          <w:trHeight w:hRule="atLeast" w:val="727"/>
        </w:trP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Совершенствование системы учета использования муниципального имущества и земельных отношений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Обеспечена  деятельность по совершенствованию учета и контролю за использованием муниципального имущества и земельными отношениями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  <w:p w14:paraId="C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деятельности Комитета по управлению имуществом м земельными отношениями администрации города Магнитогорска</w:t>
            </w:r>
          </w:p>
        </w:tc>
        <w:tc>
          <w:tcPr>
            <w:tcW w:type="dxa" w:w="1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3.  Регистрация права муниципальной собственности на объекты, учитываемые в реестре муниципального </w:t>
            </w:r>
            <w:r>
              <w:rPr>
                <w:rFonts w:ascii="Times New Roman" w:hAnsi="Times New Roman"/>
                <w:sz w:val="24"/>
              </w:rPr>
              <w:t>имущества города Магнитогорска, а также на бесхозяйные объекты и земельные участки.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Проведена регистрация объектов, учитываемых в реестре</w:t>
            </w:r>
          </w:p>
          <w:p w14:paraId="D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  <w:u w:val="single"/>
              </w:rPr>
            </w:pPr>
          </w:p>
          <w:p w14:paraId="D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Зарегистрированы объекты, учитываемые в реестре</w:t>
            </w:r>
          </w:p>
        </w:tc>
        <w:tc>
          <w:tcPr>
            <w:tcW w:type="dxa" w:w="1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500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400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400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400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400</w:t>
            </w:r>
          </w:p>
        </w:tc>
      </w:tr>
    </w:tbl>
    <w:p w14:paraId="E6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E7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E8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left"/>
        <w:tblInd w:type="dxa" w:w="0"/>
        <w:tblLayout w:type="fixed"/>
      </w:tblPr>
      <w:tblGrid>
        <w:gridCol w:w="3963"/>
        <w:gridCol w:w="1560"/>
        <w:gridCol w:w="1703"/>
        <w:gridCol w:w="1557"/>
        <w:gridCol w:w="1559"/>
        <w:gridCol w:w="1560"/>
        <w:gridCol w:w="1702"/>
        <w:gridCol w:w="1587"/>
      </w:tblGrid>
      <w:tr>
        <w:tc>
          <w:tcPr>
            <w:tcW w:type="dxa" w:w="39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22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183 905,48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136 319,02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137 847,17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142 097,90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146 645,03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151 630,95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898 445,55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183 905,48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136 319,02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137 847,17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142 097,90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146 645,03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151 630,95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898 445,55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22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23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14:paraId="24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25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Ind w:type="dxa" w:w="34"/>
        <w:tblLayout w:type="fixed"/>
      </w:tblPr>
      <w:tblGrid>
        <w:gridCol w:w="790"/>
        <w:gridCol w:w="4977"/>
        <w:gridCol w:w="2033"/>
        <w:gridCol w:w="3785"/>
        <w:gridCol w:w="3544"/>
      </w:tblGrid>
      <w:tr>
        <w:trPr>
          <w:trHeight w:hRule="atLeast" w:val="549"/>
        </w:trPr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2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atLeast" w:val="549"/>
        </w:trPr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512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</w:tr>
      <w:tr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 технические инвентаризации муниципального имущества и торги по муниципальному имуществу и земельным участкам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Иные типы</w:t>
            </w: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87"/>
        </w:trPr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 Инвентаризация проведена 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Технический план/акт обследования </w:t>
            </w:r>
          </w:p>
        </w:tc>
      </w:tr>
      <w:tr>
        <w:tc>
          <w:tcPr>
            <w:tcW w:type="dxa" w:w="1512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Совершенствование системы учета использования муниципального имущества и земельных отношений</w:t>
            </w:r>
          </w:p>
        </w:tc>
      </w:tr>
      <w:tr>
        <w:tc>
          <w:tcPr>
            <w:tcW w:type="dxa" w:w="7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Обеспечена  деятельность по совершенствованию учета и контролю за использованием муниципального имущества и земельными отношениями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Иные типы</w:t>
            </w: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b w:val="1"/>
                <w:sz w:val="24"/>
              </w:rPr>
            </w:pPr>
          </w:p>
        </w:tc>
      </w:tr>
      <w:tr>
        <w:tc>
          <w:tcPr>
            <w:tcW w:type="dxa" w:w="7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 Формирование заявок на оплату расходов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10000">
            <w:pPr>
              <w:widowControl w:val="0"/>
              <w:spacing w:after="0" w:line="240" w:lineRule="auto"/>
              <w:ind/>
              <w:jc w:val="center"/>
              <w:rPr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Платежные поручения</w:t>
            </w:r>
          </w:p>
        </w:tc>
      </w:tr>
      <w:tr>
        <w:tc>
          <w:tcPr>
            <w:tcW w:type="dxa" w:w="1512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</w:tr>
      <w:tr>
        <w:trPr>
          <w:trHeight w:hRule="atLeast" w:val="200"/>
        </w:trPr>
        <w:tc>
          <w:tcPr>
            <w:tcW w:type="dxa" w:w="7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Проведена регистрация объектов, учитываемых в реестре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Иные типы</w:t>
            </w: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 Регистрация права собственности</w:t>
            </w:r>
          </w:p>
          <w:p w14:paraId="5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  <w:p w14:paraId="5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Выписка из реестра муниципального имущества</w:t>
            </w:r>
          </w:p>
        </w:tc>
      </w:tr>
    </w:tbl>
    <w:p w14:paraId="5A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5B0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bookmarkStart w:id="2" w:name="P804"/>
      <w:bookmarkEnd w:id="2"/>
      <w:bookmarkStart w:id="3" w:name="P2307_Копия_1"/>
      <w:bookmarkEnd w:id="3"/>
      <w:r>
        <w:rPr>
          <w:sz w:val="24"/>
        </w:rPr>
        <w:br w:type="page"/>
      </w:r>
    </w:p>
    <w:p w14:paraId="5C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</w:t>
      </w:r>
    </w:p>
    <w:p w14:paraId="5D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процессных мероприятий «</w:t>
      </w:r>
      <w:r>
        <w:rPr>
          <w:rFonts w:ascii="Times New Roman" w:hAnsi="Times New Roman"/>
          <w:sz w:val="28"/>
        </w:rPr>
        <w:t>Увеличение уставного капитала хозяйствующих субъектов</w:t>
      </w:r>
      <w:r>
        <w:rPr>
          <w:rFonts w:ascii="Times New Roman" w:hAnsi="Times New Roman"/>
          <w:sz w:val="28"/>
        </w:rPr>
        <w:t>»</w:t>
      </w:r>
    </w:p>
    <w:p w14:paraId="5E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5F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60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2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14:paraId="63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64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65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2"/>
        <w:gridCol w:w="3567"/>
        <w:gridCol w:w="1842"/>
        <w:gridCol w:w="3623"/>
        <w:gridCol w:w="916"/>
        <w:gridCol w:w="994"/>
        <w:gridCol w:w="781"/>
        <w:gridCol w:w="144"/>
        <w:gridCol w:w="570"/>
        <w:gridCol w:w="144"/>
        <w:gridCol w:w="625"/>
        <w:gridCol w:w="201"/>
        <w:gridCol w:w="706"/>
      </w:tblGrid>
      <w:tr>
        <w:tc>
          <w:tcPr>
            <w:tcW w:type="dxa" w:w="8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6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8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hRule="atLeast" w:val="515"/>
        </w:trPr>
        <w:tc>
          <w:tcPr>
            <w:tcW w:type="dxa" w:w="14935"/>
            <w:gridSpan w:val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 Взносы в уставный капитал хозяйствующих субъектов.</w:t>
            </w:r>
          </w:p>
          <w:p w14:paraId="7C010000">
            <w:pPr>
              <w:widowControl w:val="0"/>
              <w:spacing w:after="0" w:line="240" w:lineRule="auto"/>
              <w:ind/>
              <w:rPr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взносы в уставный капитал хозяйствующих субъектов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6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0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87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88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89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в 2025 году</w:t>
      </w:r>
    </w:p>
    <w:p w14:paraId="8A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>
        <w:trPr>
          <w:trHeight w:hRule="atLeast" w:val="482"/>
        </w:trPr>
        <w:tc>
          <w:tcPr>
            <w:tcW w:type="dxa" w:w="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8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взносы в уставный капитал хозяйствующих субъектов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</w:tc>
      </w:tr>
    </w:tbl>
    <w:p w14:paraId="BE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BF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C0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821"/>
        <w:gridCol w:w="1074"/>
        <w:gridCol w:w="1833"/>
        <w:gridCol w:w="1808"/>
        <w:gridCol w:w="839"/>
        <w:gridCol w:w="839"/>
        <w:gridCol w:w="949"/>
        <w:gridCol w:w="948"/>
        <w:gridCol w:w="950"/>
        <w:gridCol w:w="946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0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18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8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</w:t>
            </w:r>
            <w:r>
              <w:rPr>
                <w:rFonts w:ascii="Times New Roman" w:hAnsi="Times New Roman"/>
                <w:sz w:val="24"/>
              </w:rPr>
              <w:t xml:space="preserve">ой программы </w:t>
            </w:r>
          </w:p>
        </w:tc>
        <w:tc>
          <w:tcPr>
            <w:tcW w:type="dxa" w:w="547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 Взносы в уставный капитал хозяйствующих субъектов.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взносы в уставный капитал хозяйствующих субъектов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денежные средства хозяйствующим субъектам на увеличение уставного капитала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spacing w:after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</w:tr>
    </w:tbl>
    <w:p w14:paraId="E9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EA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EB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EC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ED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EE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EF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F0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left"/>
        <w:tblInd w:type="dxa" w:w="0"/>
        <w:tblLayout w:type="fixed"/>
      </w:tblPr>
      <w:tblGrid>
        <w:gridCol w:w="3965"/>
        <w:gridCol w:w="1560"/>
        <w:gridCol w:w="1703"/>
        <w:gridCol w:w="1557"/>
        <w:gridCol w:w="1594"/>
        <w:gridCol w:w="1525"/>
        <w:gridCol w:w="1702"/>
        <w:gridCol w:w="1557"/>
      </w:tblGrid>
      <w:tr>
        <w:tc>
          <w:tcPr>
            <w:tcW w:type="dxa" w:w="39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1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19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26 007,48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20000">
            <w:pPr>
              <w:widowControl w:val="0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26 007,48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26 007,48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20000">
            <w:pPr>
              <w:widowControl w:val="0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26 007,48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2A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2B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sz w:val="24"/>
        </w:rPr>
        <w:br w:type="page"/>
      </w: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14:paraId="2C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2D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Ind w:type="dxa" w:w="34"/>
        <w:tblLayout w:type="fixed"/>
      </w:tblPr>
      <w:tblGrid>
        <w:gridCol w:w="614"/>
        <w:gridCol w:w="7036"/>
        <w:gridCol w:w="1814"/>
        <w:gridCol w:w="2604"/>
        <w:gridCol w:w="3014"/>
      </w:tblGrid>
      <w:tr>
        <w:trPr>
          <w:trHeight w:hRule="atLeast" w:val="549"/>
        </w:trP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2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exact" w:val="283"/>
        </w:trP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2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2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2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508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 Взносы в уставный капитал хозяйствующих субъектов.</w:t>
            </w:r>
          </w:p>
        </w:tc>
      </w:tr>
      <w:tr>
        <w:tc>
          <w:tcPr>
            <w:tcW w:type="dxa" w:w="6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взносы в уставный капитал хозяйствующих субъектов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 перечисление денежных средств хозяйствующим субъектам на увеличение уставного капитала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</w:tbl>
    <w:p w14:paraId="43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44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5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6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7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8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9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A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B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C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D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4E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</w:t>
      </w:r>
    </w:p>
    <w:p w14:paraId="4F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процессных мероприятий «Приобретение транспортных средств и специализированной техники в муниципальную собственность»</w:t>
      </w:r>
    </w:p>
    <w:p w14:paraId="50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51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52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2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55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56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57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2"/>
        <w:gridCol w:w="3567"/>
        <w:gridCol w:w="1842"/>
        <w:gridCol w:w="3623"/>
        <w:gridCol w:w="916"/>
        <w:gridCol w:w="994"/>
        <w:gridCol w:w="781"/>
        <w:gridCol w:w="144"/>
        <w:gridCol w:w="570"/>
        <w:gridCol w:w="144"/>
        <w:gridCol w:w="625"/>
        <w:gridCol w:w="201"/>
        <w:gridCol w:w="706"/>
      </w:tblGrid>
      <w:tr>
        <w:tc>
          <w:tcPr>
            <w:tcW w:type="dxa" w:w="8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6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8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14935"/>
            <w:gridSpan w:val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20000">
            <w:pPr>
              <w:widowControl w:val="0"/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Приобретение транспортных средств и специализированной техники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приобретенных транспортных средств и специализированной техники в муниципальную </w:t>
            </w:r>
            <w:r>
              <w:rPr>
                <w:rFonts w:ascii="Times New Roman" w:hAnsi="Times New Roman"/>
                <w:sz w:val="24"/>
              </w:rPr>
              <w:t>собственность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6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0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78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79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7A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в 2025 году</w:t>
      </w:r>
    </w:p>
    <w:p w14:paraId="7B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>
        <w:trPr>
          <w:trHeight w:hRule="atLeast" w:val="482"/>
        </w:trPr>
        <w:tc>
          <w:tcPr>
            <w:tcW w:type="dxa" w:w="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7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8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приобретенных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</w:t>
            </w:r>
          </w:p>
        </w:tc>
      </w:tr>
    </w:tbl>
    <w:p w14:paraId="AD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E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AF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821"/>
        <w:gridCol w:w="1074"/>
        <w:gridCol w:w="1833"/>
        <w:gridCol w:w="1808"/>
        <w:gridCol w:w="839"/>
        <w:gridCol w:w="839"/>
        <w:gridCol w:w="949"/>
        <w:gridCol w:w="948"/>
        <w:gridCol w:w="950"/>
        <w:gridCol w:w="946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0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Единицы измерения (по </w:t>
            </w:r>
            <w:r>
              <w:rPr>
                <w:rFonts w:ascii="Times New Roman" w:hAnsi="Times New Roman"/>
                <w:sz w:val="24"/>
              </w:rPr>
              <w:t>ОКЕИ)</w:t>
            </w:r>
          </w:p>
        </w:tc>
        <w:tc>
          <w:tcPr>
            <w:tcW w:type="dxa" w:w="18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8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</w:t>
            </w:r>
            <w:r>
              <w:rPr>
                <w:rFonts w:ascii="Times New Roman" w:hAnsi="Times New Roman"/>
                <w:sz w:val="24"/>
              </w:rPr>
              <w:t xml:space="preserve">щий году разработки проекта муниципальной программы </w:t>
            </w:r>
          </w:p>
        </w:tc>
        <w:tc>
          <w:tcPr>
            <w:tcW w:type="dxa" w:w="547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20000">
            <w:pPr>
              <w:widowControl w:val="0"/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Приобретение транспортных средств и специализированной техники 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Приобретено в муниципальную собственность транспортных средств и специализированной техники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Приобретено транспортных средств и специализированной техники в муниципальную собственность</w:t>
            </w:r>
          </w:p>
          <w:p w14:paraId="C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2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</w:tr>
    </w:tbl>
    <w:p w14:paraId="D4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D5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D6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left"/>
        <w:tblInd w:type="dxa" w:w="0"/>
        <w:tblLayout w:type="fixed"/>
      </w:tblPr>
      <w:tblGrid>
        <w:gridCol w:w="3965"/>
        <w:gridCol w:w="1560"/>
        <w:gridCol w:w="1703"/>
        <w:gridCol w:w="1557"/>
        <w:gridCol w:w="1594"/>
        <w:gridCol w:w="1525"/>
        <w:gridCol w:w="1702"/>
        <w:gridCol w:w="1557"/>
      </w:tblGrid>
      <w:tr>
        <w:tc>
          <w:tcPr>
            <w:tcW w:type="dxa" w:w="3965"/>
            <w:vMerge w:val="restart"/>
          </w:tcPr>
          <w:p w14:paraId="D7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198"/>
            <w:gridSpan w:val="7"/>
          </w:tcPr>
          <w:p w14:paraId="D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5"/>
            <w:gridSpan w:val="1"/>
            <w:vMerge w:val="continue"/>
          </w:tcPr>
          <w:p/>
        </w:tc>
        <w:tc>
          <w:tcPr>
            <w:tcW w:type="dxa" w:w="1560"/>
            <w:vAlign w:val="center"/>
          </w:tcPr>
          <w:p w14:paraId="D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03"/>
            <w:vAlign w:val="center"/>
          </w:tcPr>
          <w:p w14:paraId="D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7"/>
            <w:vAlign w:val="center"/>
          </w:tcPr>
          <w:p w14:paraId="D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94"/>
            <w:vAlign w:val="center"/>
          </w:tcPr>
          <w:p w14:paraId="D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25"/>
            <w:vAlign w:val="center"/>
          </w:tcPr>
          <w:p w14:paraId="D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702"/>
            <w:vAlign w:val="center"/>
          </w:tcPr>
          <w:p w14:paraId="D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57"/>
          </w:tcPr>
          <w:p w14:paraId="D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65"/>
            <w:vAlign w:val="top"/>
          </w:tcPr>
          <w:p w14:paraId="E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vAlign w:val="top"/>
          </w:tcPr>
          <w:p w14:paraId="E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3"/>
            <w:vAlign w:val="top"/>
          </w:tcPr>
          <w:p w14:paraId="E2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7"/>
            <w:vAlign w:val="top"/>
          </w:tcPr>
          <w:p w14:paraId="E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94"/>
            <w:vAlign w:val="top"/>
          </w:tcPr>
          <w:p w14:paraId="E4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25"/>
            <w:vAlign w:val="top"/>
          </w:tcPr>
          <w:p w14:paraId="E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2"/>
            <w:vAlign w:val="top"/>
          </w:tcPr>
          <w:p w14:paraId="E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57"/>
            <w:vAlign w:val="top"/>
          </w:tcPr>
          <w:p w14:paraId="E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5"/>
          </w:tcPr>
          <w:p w14:paraId="E8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0"/>
          </w:tcPr>
          <w:p w14:paraId="E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46 200,00</w:t>
            </w:r>
          </w:p>
        </w:tc>
        <w:tc>
          <w:tcPr>
            <w:tcW w:type="dxa" w:w="1703"/>
          </w:tcPr>
          <w:p w14:paraId="E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</w:tcPr>
          <w:p w14:paraId="E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</w:tcPr>
          <w:p w14:paraId="E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</w:tcPr>
          <w:p w14:paraId="E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</w:tcPr>
          <w:p w14:paraId="E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</w:tcPr>
          <w:p w14:paraId="EF020000">
            <w:pPr>
              <w:widowControl w:val="0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46 200,00</w:t>
            </w:r>
          </w:p>
        </w:tc>
      </w:tr>
      <w:tr>
        <w:tc>
          <w:tcPr>
            <w:tcW w:type="dxa" w:w="3965"/>
          </w:tcPr>
          <w:p w14:paraId="F0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0"/>
          </w:tcPr>
          <w:p w14:paraId="F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</w:tcPr>
          <w:p w14:paraId="F2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</w:tcPr>
          <w:p w14:paraId="F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</w:tcPr>
          <w:p w14:paraId="F4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</w:tcPr>
          <w:p w14:paraId="F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</w:tcPr>
          <w:p w14:paraId="F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</w:tcPr>
          <w:p w14:paraId="F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</w:tcPr>
          <w:p w14:paraId="F8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0"/>
          </w:tcPr>
          <w:p w14:paraId="F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</w:tcPr>
          <w:p w14:paraId="F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</w:tcPr>
          <w:p w14:paraId="F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</w:tcPr>
          <w:p w14:paraId="F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</w:tcPr>
          <w:p w14:paraId="F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</w:tcPr>
          <w:p w14:paraId="F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</w:tcPr>
          <w:p w14:paraId="F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</w:tcPr>
          <w:p w14:paraId="00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0"/>
          </w:tcPr>
          <w:p w14:paraId="0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46 200,00</w:t>
            </w:r>
          </w:p>
        </w:tc>
        <w:tc>
          <w:tcPr>
            <w:tcW w:type="dxa" w:w="1703"/>
          </w:tcPr>
          <w:p w14:paraId="02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</w:tcPr>
          <w:p w14:paraId="03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</w:tcPr>
          <w:p w14:paraId="04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</w:tcPr>
          <w:p w14:paraId="05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</w:tcPr>
          <w:p w14:paraId="06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</w:tcPr>
          <w:p w14:paraId="07030000">
            <w:pPr>
              <w:widowControl w:val="0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46 200,00</w:t>
            </w:r>
          </w:p>
        </w:tc>
      </w:tr>
      <w:tr>
        <w:tc>
          <w:tcPr>
            <w:tcW w:type="dxa" w:w="3965"/>
          </w:tcPr>
          <w:p w14:paraId="08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0"/>
          </w:tcPr>
          <w:p w14:paraId="09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</w:tcPr>
          <w:p w14:paraId="0A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</w:tcPr>
          <w:p w14:paraId="0B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</w:tcPr>
          <w:p w14:paraId="0C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</w:tcPr>
          <w:p w14:paraId="0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</w:tcPr>
          <w:p w14:paraId="0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</w:tcPr>
          <w:p w14:paraId="0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1003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1103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14:paraId="1203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13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Ind w:type="dxa" w:w="34"/>
        <w:tblLayout w:type="fixed"/>
      </w:tblPr>
      <w:tblGrid>
        <w:gridCol w:w="614"/>
        <w:gridCol w:w="7036"/>
        <w:gridCol w:w="1814"/>
        <w:gridCol w:w="2604"/>
        <w:gridCol w:w="3014"/>
      </w:tblGrid>
      <w:tr>
        <w:trPr>
          <w:trHeight w:hRule="atLeast" w:val="549"/>
        </w:trPr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1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0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exact" w:val="283"/>
        </w:trPr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1A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1B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1C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1D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1E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508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Приобретение транспортных средств и специализированной техники </w:t>
            </w:r>
          </w:p>
        </w:tc>
      </w:tr>
      <w:tr>
        <w:tc>
          <w:tcPr>
            <w:tcW w:type="dxa" w:w="6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 xml:space="preserve"> транспортных средств и специализированной техники в муниципальную </w:t>
            </w:r>
            <w:r>
              <w:rPr>
                <w:rFonts w:ascii="Times New Roman" w:hAnsi="Times New Roman"/>
                <w:sz w:val="24"/>
              </w:rPr>
              <w:t>собственность</w:t>
            </w:r>
          </w:p>
        </w:tc>
        <w:tc>
          <w:tcPr>
            <w:tcW w:type="dxa" w:w="1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закупок </w:t>
            </w:r>
            <w:r>
              <w:rPr>
                <w:rFonts w:ascii="Times New Roman" w:hAnsi="Times New Roman"/>
                <w:sz w:val="24"/>
              </w:rPr>
              <w:t>товаров, работ и услуг</w:t>
            </w:r>
          </w:p>
        </w:tc>
        <w:tc>
          <w:tcPr>
            <w:tcW w:type="dxa" w:w="2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36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2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 </w:t>
            </w:r>
            <w:r>
              <w:rPr>
                <w:rFonts w:ascii="Times New Roman" w:hAnsi="Times New Roman"/>
                <w:sz w:val="24"/>
              </w:rPr>
              <w:t>Заключение муниципального контракта</w:t>
            </w:r>
          </w:p>
        </w:tc>
        <w:tc>
          <w:tcPr>
            <w:tcW w:type="dxa" w:w="1814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2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2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014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2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 контракт</w:t>
            </w: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 перечисление денежных средств за приобретенные транспортные средства и специализированную технику</w:t>
            </w:r>
          </w:p>
        </w:tc>
        <w:tc>
          <w:tcPr>
            <w:tcW w:type="dxa" w:w="1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2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014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2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передача приобретенных транспортных средств и специализированной техники в муниципальную собственность</w:t>
            </w:r>
            <w:bookmarkStart w:id="4" w:name="_GoBack"/>
            <w:bookmarkEnd w:id="4"/>
          </w:p>
        </w:tc>
        <w:tc>
          <w:tcPr>
            <w:tcW w:type="dxa" w:w="1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 Магнитогорска</w:t>
            </w:r>
          </w:p>
        </w:tc>
      </w:tr>
    </w:tbl>
    <w:p w14:paraId="3103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sectPr>
      <w:pgSz w:h="11908" w:orient="landscape" w:w="16848"/>
      <w:pgMar w:bottom="1134" w:footer="0" w:gutter="0" w:header="0" w:left="1134" w:right="1134" w:top="1134"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>
      <w:r>
        <w:separator/>
      </w:r>
    </w:p>
  </w:endnote>
  <w:endnote w:id="0" w:type="continuationSeparator">
    <w:p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32030000">
      <w:pPr>
        <w:pStyle w:val="Style_21"/>
        <w:widowControl w:val="0"/>
        <w:spacing w:after="160"/>
        <w:ind/>
      </w:pPr>
      <w:r>
        <w:rPr>
          <w:vertAlign w:val="superscript"/>
        </w:rPr>
        <w:footnoteRef/>
      </w:r>
      <w:r>
        <w:t xml:space="preserve"> Значения 2023 года</w:t>
      </w:r>
    </w:p>
  </w:footnote>
  <w:footnote w:id="2">
    <w:p w14:paraId="33030000">
      <w:pPr>
        <w:pStyle w:val="Style_21"/>
        <w:widowControl w:val="0"/>
        <w:ind/>
      </w:pPr>
      <w:r>
        <w:rPr>
          <w:vertAlign w:val="superscript"/>
        </w:rPr>
        <w:footnoteRef/>
      </w:r>
      <w:r>
        <w:t xml:space="preserve"> План на год </w:t>
      </w:r>
      <w:r>
        <w:t>155  штук</w:t>
      </w:r>
      <w:r>
        <w:t xml:space="preserve"> из них: </w:t>
      </w:r>
    </w:p>
    <w:p w14:paraId="34030000">
      <w:pPr>
        <w:pStyle w:val="Style_21"/>
        <w:widowControl w:val="0"/>
        <w:ind/>
      </w:pPr>
      <w:r>
        <w:t>- техническая инвентаризация муниципального имущества – 25</w:t>
      </w:r>
    </w:p>
    <w:p w14:paraId="35030000">
      <w:pPr>
        <w:pStyle w:val="Style_21"/>
        <w:widowControl w:val="0"/>
        <w:ind/>
      </w:pPr>
      <w:r>
        <w:t>- проведение торгов по муниципальному имуществу – 90</w:t>
      </w:r>
    </w:p>
    <w:p w14:paraId="36030000">
      <w:pPr>
        <w:pStyle w:val="Style_21"/>
        <w:widowControl w:val="0"/>
        <w:ind/>
      </w:pPr>
      <w:r>
        <w:t>- проведение торгов по земельным участкам – 40</w:t>
      </w:r>
    </w:p>
    <w:p w14:paraId="37030000">
      <w:pPr>
        <w:pStyle w:val="Style_21"/>
        <w:widowControl w:val="0"/>
        <w:spacing w:after="160"/>
        <w:ind/>
      </w:pPr>
    </w:p>
  </w:footnote>
</w:footnote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</w:style>
  <w:style w:default="1" w:styleId="Style_4_ch" w:type="character">
    <w:name w:val="Normal"/>
    <w:link w:val="Style_4"/>
  </w:style>
  <w:style w:styleId="Style_5" w:type="paragraph">
    <w:name w:val="Основной шрифт абзаца3"/>
    <w:link w:val="Style_5_ch"/>
    <w:pPr>
      <w:spacing w:after="160" w:line="264" w:lineRule="auto"/>
      <w:ind/>
    </w:pPr>
  </w:style>
  <w:style w:styleId="Style_5_ch" w:type="character">
    <w:name w:val="Основной шрифт абзаца3"/>
    <w:link w:val="Style_5"/>
  </w:style>
  <w:style w:styleId="Style_6" w:type="paragraph">
    <w:name w:val="toc 2"/>
    <w:next w:val="Style_4"/>
    <w:link w:val="Style_6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Balloon Text"/>
    <w:basedOn w:val="Style_4"/>
    <w:link w:val="Style_7_ch"/>
    <w:pPr>
      <w:spacing w:after="0" w:line="240" w:lineRule="auto"/>
      <w:ind/>
    </w:pPr>
    <w:rPr>
      <w:rFonts w:ascii="Segoe UI" w:hAnsi="Segoe UI"/>
      <w:sz w:val="18"/>
    </w:rPr>
  </w:style>
  <w:style w:styleId="Style_7_ch" w:type="character">
    <w:name w:val="Balloon Text"/>
    <w:basedOn w:val="Style_4_ch"/>
    <w:link w:val="Style_7"/>
    <w:rPr>
      <w:rFonts w:ascii="Segoe UI" w:hAnsi="Segoe UI"/>
      <w:sz w:val="18"/>
    </w:rPr>
  </w:style>
  <w:style w:styleId="Style_8" w:type="paragraph">
    <w:name w:val="Содержимое таблицы"/>
    <w:basedOn w:val="Style_4"/>
    <w:link w:val="Style_8_ch"/>
    <w:pPr>
      <w:widowControl w:val="0"/>
      <w:ind/>
    </w:pPr>
  </w:style>
  <w:style w:styleId="Style_8_ch" w:type="character">
    <w:name w:val="Содержимое таблицы"/>
    <w:basedOn w:val="Style_4_ch"/>
    <w:link w:val="Style_8"/>
  </w:style>
  <w:style w:styleId="Style_9" w:type="paragraph">
    <w:name w:val="toc 4"/>
    <w:next w:val="Style_4"/>
    <w:link w:val="Style_9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Гиперссылка2"/>
    <w:link w:val="Style_10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10_ch" w:type="character">
    <w:name w:val="Гиперссылка2"/>
    <w:link w:val="Style_10"/>
    <w:rPr>
      <w:rFonts w:ascii="Calibri" w:hAnsi="Calibri"/>
      <w:color w:val="0000FF"/>
      <w:u w:val="single"/>
    </w:rPr>
  </w:style>
  <w:style w:styleId="Style_11" w:type="paragraph">
    <w:name w:val="toc 6"/>
    <w:next w:val="Style_4"/>
    <w:link w:val="Style_11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4"/>
    <w:link w:val="Style_12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Колонтитул"/>
    <w:link w:val="Style_13_ch"/>
    <w:pPr>
      <w:spacing w:after="160"/>
      <w:ind/>
      <w:jc w:val="both"/>
    </w:pPr>
    <w:rPr>
      <w:rFonts w:ascii="XO Thames" w:hAnsi="XO Thames"/>
      <w:sz w:val="28"/>
    </w:rPr>
  </w:style>
  <w:style w:styleId="Style_13_ch" w:type="character">
    <w:name w:val="Колонтитул"/>
    <w:link w:val="Style_13"/>
    <w:rPr>
      <w:rFonts w:ascii="XO Thames" w:hAnsi="XO Thames"/>
      <w:sz w:val="28"/>
    </w:rPr>
  </w:style>
  <w:style w:styleId="Style_14" w:type="paragraph">
    <w:name w:val="Contents 1"/>
    <w:link w:val="Style_14_ch"/>
    <w:rPr>
      <w:rFonts w:ascii="XO Thames" w:hAnsi="XO Thames"/>
      <w:b w:val="1"/>
      <w:sz w:val="28"/>
    </w:rPr>
  </w:style>
  <w:style w:styleId="Style_14_ch" w:type="character">
    <w:name w:val="Contents 1"/>
    <w:link w:val="Style_14"/>
    <w:rPr>
      <w:rFonts w:ascii="XO Thames" w:hAnsi="XO Thames"/>
      <w:b w:val="1"/>
      <w:sz w:val="28"/>
    </w:rPr>
  </w:style>
  <w:style w:styleId="Style_15" w:type="paragraph">
    <w:name w:val="Гиперссылка1"/>
    <w:link w:val="Style_15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15_ch" w:type="character">
    <w:name w:val="Гиперссылка1"/>
    <w:link w:val="Style_15"/>
    <w:rPr>
      <w:rFonts w:ascii="Calibri" w:hAnsi="Calibri"/>
      <w:color w:val="0000FF"/>
      <w:u w:val="single"/>
    </w:rPr>
  </w:style>
  <w:style w:styleId="Style_16" w:type="paragraph">
    <w:name w:val="Endnote"/>
    <w:link w:val="Style_16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16_ch" w:type="character">
    <w:name w:val="Endnote"/>
    <w:link w:val="Style_16"/>
    <w:rPr>
      <w:rFonts w:ascii="XO Thames" w:hAnsi="XO Thames"/>
    </w:rPr>
  </w:style>
  <w:style w:styleId="Style_17" w:type="paragraph">
    <w:name w:val="heading 3"/>
    <w:next w:val="Style_4"/>
    <w:link w:val="Style_17_ch"/>
    <w:uiPriority w:val="9"/>
    <w:qFormat/>
    <w:pPr>
      <w:spacing w:after="120" w:before="120" w:line="264" w:lineRule="auto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8" w:type="paragraph">
    <w:name w:val="Internet link"/>
    <w:link w:val="Style_18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18_ch" w:type="character">
    <w:name w:val="Internet link"/>
    <w:link w:val="Style_18"/>
    <w:rPr>
      <w:rFonts w:ascii="Calibri" w:hAnsi="Calibri"/>
      <w:color w:val="0000FF"/>
      <w:u w:val="single"/>
    </w:rPr>
  </w:style>
  <w:style w:styleId="Style_19" w:type="paragraph">
    <w:name w:val="Символ сноски"/>
    <w:link w:val="Style_19_ch"/>
    <w:rPr>
      <w:vertAlign w:val="superscript"/>
    </w:rPr>
  </w:style>
  <w:style w:styleId="Style_19_ch" w:type="character">
    <w:name w:val="Символ сноски"/>
    <w:link w:val="Style_19"/>
    <w:rPr>
      <w:vertAlign w:val="superscript"/>
    </w:rPr>
  </w:style>
  <w:style w:styleId="Style_20" w:type="paragraph">
    <w:name w:val="Contents 6"/>
    <w:link w:val="Style_20_ch"/>
    <w:rPr>
      <w:rFonts w:ascii="XO Thames" w:hAnsi="XO Thames"/>
      <w:sz w:val="28"/>
    </w:rPr>
  </w:style>
  <w:style w:styleId="Style_20_ch" w:type="character">
    <w:name w:val="Contents 6"/>
    <w:link w:val="Style_20"/>
    <w:rPr>
      <w:rFonts w:ascii="XO Thames" w:hAnsi="XO Thames"/>
      <w:sz w:val="28"/>
    </w:rPr>
  </w:style>
  <w:style w:styleId="Style_21" w:type="paragraph">
    <w:name w:val="Footnote"/>
    <w:basedOn w:val="Style_4"/>
    <w:link w:val="Style_21_ch"/>
  </w:style>
  <w:style w:styleId="Style_21_ch" w:type="character">
    <w:name w:val="Footnote"/>
    <w:basedOn w:val="Style_4_ch"/>
    <w:link w:val="Style_21"/>
  </w:style>
  <w:style w:styleId="Style_22" w:type="paragraph">
    <w:name w:val="caption"/>
    <w:basedOn w:val="Style_4"/>
    <w:link w:val="Style_22_ch"/>
    <w:pPr>
      <w:spacing w:after="120" w:before="120"/>
      <w:ind/>
    </w:pPr>
    <w:rPr>
      <w:rFonts w:ascii="PT Astra Serif" w:hAnsi="PT Astra Serif"/>
      <w:i w:val="1"/>
      <w:sz w:val="24"/>
    </w:rPr>
  </w:style>
  <w:style w:styleId="Style_22_ch" w:type="character">
    <w:name w:val="caption"/>
    <w:basedOn w:val="Style_4_ch"/>
    <w:link w:val="Style_22"/>
    <w:rPr>
      <w:rFonts w:ascii="PT Astra Serif" w:hAnsi="PT Astra Serif"/>
      <w:i w:val="1"/>
      <w:sz w:val="24"/>
    </w:rPr>
  </w:style>
  <w:style w:styleId="Style_23" w:type="paragraph">
    <w:name w:val="header"/>
    <w:basedOn w:val="Style_4"/>
    <w:link w:val="Style_2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3_ch" w:type="character">
    <w:name w:val="header"/>
    <w:basedOn w:val="Style_4_ch"/>
    <w:link w:val="Style_23"/>
  </w:style>
  <w:style w:styleId="Style_24" w:type="paragraph">
    <w:name w:val="Подзаголовок1"/>
    <w:link w:val="Style_24_ch"/>
    <w:rPr>
      <w:rFonts w:ascii="XO Thames" w:hAnsi="XO Thames"/>
      <w:i w:val="1"/>
      <w:sz w:val="24"/>
    </w:rPr>
  </w:style>
  <w:style w:styleId="Style_24_ch" w:type="character">
    <w:name w:val="Подзаголовок1"/>
    <w:link w:val="Style_24"/>
    <w:rPr>
      <w:rFonts w:ascii="XO Thames" w:hAnsi="XO Thames"/>
      <w:i w:val="1"/>
      <w:sz w:val="24"/>
    </w:rPr>
  </w:style>
  <w:style w:styleId="Style_25" w:type="paragraph">
    <w:name w:val="Contents 4"/>
    <w:link w:val="Style_25_ch"/>
    <w:rPr>
      <w:rFonts w:ascii="XO Thames" w:hAnsi="XO Thames"/>
      <w:sz w:val="28"/>
    </w:rPr>
  </w:style>
  <w:style w:styleId="Style_25_ch" w:type="character">
    <w:name w:val="Contents 4"/>
    <w:link w:val="Style_25"/>
    <w:rPr>
      <w:rFonts w:ascii="XO Thames" w:hAnsi="XO Thames"/>
      <w:sz w:val="28"/>
    </w:rPr>
  </w:style>
  <w:style w:styleId="Style_26" w:type="paragraph">
    <w:name w:val="toc 3"/>
    <w:next w:val="Style_4"/>
    <w:link w:val="Style_26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27" w:type="paragraph">
    <w:name w:val="Заголовок 31"/>
    <w:link w:val="Style_27_ch"/>
    <w:rPr>
      <w:rFonts w:ascii="XO Thames" w:hAnsi="XO Thames"/>
      <w:b w:val="1"/>
      <w:sz w:val="26"/>
    </w:rPr>
  </w:style>
  <w:style w:styleId="Style_27_ch" w:type="character">
    <w:name w:val="Заголовок 31"/>
    <w:link w:val="Style_27"/>
    <w:rPr>
      <w:rFonts w:ascii="XO Thames" w:hAnsi="XO Thames"/>
      <w:b w:val="1"/>
      <w:sz w:val="26"/>
    </w:rPr>
  </w:style>
  <w:style w:styleId="Style_28" w:type="paragraph">
    <w:name w:val="Заголовок 51"/>
    <w:link w:val="Style_28_ch"/>
    <w:rPr>
      <w:rFonts w:ascii="XO Thames" w:hAnsi="XO Thames"/>
      <w:b w:val="1"/>
    </w:rPr>
  </w:style>
  <w:style w:styleId="Style_28_ch" w:type="character">
    <w:name w:val="Заголовок 51"/>
    <w:link w:val="Style_28"/>
    <w:rPr>
      <w:rFonts w:ascii="XO Thames" w:hAnsi="XO Thames"/>
      <w:b w:val="1"/>
    </w:rPr>
  </w:style>
  <w:style w:styleId="Style_29" w:type="paragraph">
    <w:name w:val="annotation text"/>
    <w:basedOn w:val="Style_4"/>
    <w:link w:val="Style_29_ch"/>
    <w:pPr>
      <w:spacing w:line="240" w:lineRule="auto"/>
      <w:ind/>
    </w:pPr>
    <w:rPr>
      <w:sz w:val="20"/>
    </w:rPr>
  </w:style>
  <w:style w:styleId="Style_29_ch" w:type="character">
    <w:name w:val="annotation text"/>
    <w:basedOn w:val="Style_4_ch"/>
    <w:link w:val="Style_29"/>
    <w:rPr>
      <w:sz w:val="20"/>
    </w:rPr>
  </w:style>
  <w:style w:styleId="Style_30" w:type="paragraph">
    <w:name w:val="Contents 8"/>
    <w:link w:val="Style_30_ch"/>
    <w:rPr>
      <w:rFonts w:ascii="XO Thames" w:hAnsi="XO Thames"/>
      <w:sz w:val="28"/>
    </w:rPr>
  </w:style>
  <w:style w:styleId="Style_30_ch" w:type="character">
    <w:name w:val="Contents 8"/>
    <w:link w:val="Style_30"/>
    <w:rPr>
      <w:rFonts w:ascii="XO Thames" w:hAnsi="XO Thames"/>
      <w:sz w:val="28"/>
    </w:rPr>
  </w:style>
  <w:style w:styleId="Style_31" w:type="paragraph">
    <w:name w:val="heading 5"/>
    <w:next w:val="Style_4"/>
    <w:link w:val="Style_31_ch"/>
    <w:uiPriority w:val="9"/>
    <w:qFormat/>
    <w:pPr>
      <w:spacing w:after="120" w:before="120" w:line="264" w:lineRule="auto"/>
      <w:ind/>
      <w:jc w:val="both"/>
      <w:outlineLvl w:val="4"/>
    </w:pPr>
    <w:rPr>
      <w:rFonts w:ascii="XO Thames" w:hAnsi="XO Thames"/>
      <w:b w:val="1"/>
    </w:rPr>
  </w:style>
  <w:style w:styleId="Style_31_ch" w:type="character">
    <w:name w:val="heading 5"/>
    <w:link w:val="Style_31"/>
    <w:rPr>
      <w:rFonts w:ascii="XO Thames" w:hAnsi="XO Thames"/>
      <w:b w:val="1"/>
    </w:rPr>
  </w:style>
  <w:style w:styleId="Style_32" w:type="paragraph">
    <w:name w:val="Contents 7"/>
    <w:link w:val="Style_32_ch"/>
    <w:rPr>
      <w:rFonts w:ascii="XO Thames" w:hAnsi="XO Thames"/>
      <w:sz w:val="28"/>
    </w:rPr>
  </w:style>
  <w:style w:styleId="Style_32_ch" w:type="character">
    <w:name w:val="Contents 7"/>
    <w:link w:val="Style_32"/>
    <w:rPr>
      <w:rFonts w:ascii="XO Thames" w:hAnsi="XO Thames"/>
      <w:sz w:val="28"/>
    </w:rPr>
  </w:style>
  <w:style w:styleId="Style_33" w:type="paragraph">
    <w:name w:val="heading 1"/>
    <w:next w:val="Style_4"/>
    <w:link w:val="Style_33_ch"/>
    <w:uiPriority w:val="9"/>
    <w:qFormat/>
    <w:pPr>
      <w:spacing w:after="120" w:before="120" w:line="264" w:lineRule="auto"/>
      <w:ind/>
      <w:jc w:val="both"/>
      <w:outlineLvl w:val="0"/>
    </w:pPr>
    <w:rPr>
      <w:rFonts w:ascii="XO Thames" w:hAnsi="XO Thames"/>
      <w:b w:val="1"/>
      <w:sz w:val="32"/>
    </w:rPr>
  </w:style>
  <w:style w:styleId="Style_33_ch" w:type="character">
    <w:name w:val="heading 1"/>
    <w:link w:val="Style_33"/>
    <w:rPr>
      <w:rFonts w:ascii="XO Thames" w:hAnsi="XO Thames"/>
      <w:b w:val="1"/>
      <w:sz w:val="32"/>
    </w:rPr>
  </w:style>
  <w:style w:styleId="Style_34" w:type="paragraph">
    <w:name w:val="Body Text"/>
    <w:basedOn w:val="Style_4"/>
    <w:link w:val="Style_34_ch"/>
    <w:pPr>
      <w:spacing w:after="140"/>
      <w:ind/>
    </w:pPr>
  </w:style>
  <w:style w:styleId="Style_34_ch" w:type="character">
    <w:name w:val="Body Text"/>
    <w:basedOn w:val="Style_4_ch"/>
    <w:link w:val="Style_34"/>
  </w:style>
  <w:style w:styleId="Style_35" w:type="paragraph">
    <w:name w:val="Contents 2"/>
    <w:link w:val="Style_35_ch"/>
    <w:rPr>
      <w:rFonts w:ascii="XO Thames" w:hAnsi="XO Thames"/>
      <w:sz w:val="28"/>
    </w:rPr>
  </w:style>
  <w:style w:styleId="Style_35_ch" w:type="character">
    <w:name w:val="Contents 2"/>
    <w:link w:val="Style_35"/>
    <w:rPr>
      <w:rFonts w:ascii="XO Thames" w:hAnsi="XO Thames"/>
      <w:sz w:val="28"/>
    </w:rPr>
  </w:style>
  <w:style w:styleId="Style_36" w:type="paragraph">
    <w:name w:val="Основной шрифт абзаца4"/>
    <w:link w:val="Style_36_ch"/>
    <w:pPr>
      <w:spacing w:after="160" w:line="264" w:lineRule="auto"/>
      <w:ind/>
    </w:pPr>
  </w:style>
  <w:style w:styleId="Style_36_ch" w:type="character">
    <w:name w:val="Основной шрифт абзаца4"/>
    <w:link w:val="Style_36"/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link w:val="Style_38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38_ch" w:type="character">
    <w:name w:val="Footnote"/>
    <w:link w:val="Style_38"/>
    <w:rPr>
      <w:rFonts w:ascii="XO Thames" w:hAnsi="XO Thames"/>
    </w:rPr>
  </w:style>
  <w:style w:styleId="Style_39" w:type="paragraph">
    <w:name w:val="toc 1"/>
    <w:next w:val="Style_4"/>
    <w:link w:val="Style_39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39_ch" w:type="character">
    <w:name w:val="toc 1"/>
    <w:link w:val="Style_39"/>
    <w:rPr>
      <w:rFonts w:ascii="XO Thames" w:hAnsi="XO Thames"/>
      <w:b w:val="1"/>
      <w:sz w:val="28"/>
    </w:rPr>
  </w:style>
  <w:style w:styleId="Style_40" w:type="paragraph">
    <w:name w:val="Header and Footer"/>
    <w:link w:val="Style_40_ch"/>
    <w:rPr>
      <w:rFonts w:ascii="XO Thames" w:hAnsi="XO Thames"/>
      <w:sz w:val="28"/>
    </w:rPr>
  </w:style>
  <w:style w:styleId="Style_40_ch" w:type="character">
    <w:name w:val="Header and Footer"/>
    <w:link w:val="Style_40"/>
    <w:rPr>
      <w:rFonts w:ascii="XO Thames" w:hAnsi="XO Thames"/>
      <w:sz w:val="28"/>
    </w:rPr>
  </w:style>
  <w:style w:styleId="Style_41" w:type="paragraph">
    <w:name w:val="Заголовок таблицы"/>
    <w:basedOn w:val="Style_8"/>
    <w:link w:val="Style_41_ch"/>
    <w:pPr>
      <w:ind/>
      <w:jc w:val="center"/>
    </w:pPr>
    <w:rPr>
      <w:b w:val="1"/>
    </w:rPr>
  </w:style>
  <w:style w:styleId="Style_41_ch" w:type="character">
    <w:name w:val="Заголовок таблицы"/>
    <w:basedOn w:val="Style_8_ch"/>
    <w:link w:val="Style_41"/>
    <w:rPr>
      <w:b w:val="1"/>
    </w:rPr>
  </w:style>
  <w:style w:styleId="Style_42" w:type="paragraph">
    <w:name w:val="Основной шрифт абзаца1"/>
    <w:link w:val="Style_42_ch"/>
    <w:pPr>
      <w:spacing w:after="160" w:line="264" w:lineRule="auto"/>
      <w:ind/>
    </w:pPr>
  </w:style>
  <w:style w:styleId="Style_42_ch" w:type="character">
    <w:name w:val="Основной шрифт абзаца1"/>
    <w:link w:val="Style_42"/>
  </w:style>
  <w:style w:styleId="Style_43" w:type="paragraph">
    <w:name w:val="Основной шрифт абзаца2"/>
    <w:link w:val="Style_43_ch"/>
    <w:pPr>
      <w:spacing w:after="160" w:line="264" w:lineRule="auto"/>
      <w:ind/>
    </w:pPr>
  </w:style>
  <w:style w:styleId="Style_43_ch" w:type="character">
    <w:name w:val="Основной шрифт абзаца2"/>
    <w:link w:val="Style_43"/>
  </w:style>
  <w:style w:styleId="Style_44" w:type="paragraph">
    <w:name w:val="toc 9"/>
    <w:next w:val="Style_4"/>
    <w:link w:val="Style_44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44_ch" w:type="character">
    <w:name w:val="toc 9"/>
    <w:link w:val="Style_44"/>
    <w:rPr>
      <w:rFonts w:ascii="XO Thames" w:hAnsi="XO Thames"/>
      <w:sz w:val="28"/>
    </w:rPr>
  </w:style>
  <w:style w:styleId="Style_45" w:type="paragraph">
    <w:name w:val="Обычный1"/>
    <w:link w:val="Style_45_ch"/>
    <w:pPr>
      <w:spacing w:after="160" w:line="264" w:lineRule="auto"/>
      <w:ind/>
    </w:pPr>
  </w:style>
  <w:style w:styleId="Style_45_ch" w:type="character">
    <w:name w:val="Обычный1"/>
    <w:link w:val="Style_45"/>
  </w:style>
  <w:style w:styleId="Style_46" w:type="paragraph">
    <w:name w:val="ConsPlusNormal"/>
    <w:link w:val="Style_46_ch"/>
    <w:pPr>
      <w:widowControl w:val="0"/>
      <w:ind/>
    </w:pPr>
  </w:style>
  <w:style w:styleId="Style_46_ch" w:type="character">
    <w:name w:val="ConsPlusNormal"/>
    <w:link w:val="Style_46"/>
  </w:style>
  <w:style w:styleId="Style_47" w:type="paragraph">
    <w:name w:val="Заголовок1"/>
    <w:link w:val="Style_47_ch"/>
    <w:rPr>
      <w:rFonts w:ascii="XO Thames" w:hAnsi="XO Thames"/>
      <w:b w:val="1"/>
      <w:caps w:val="1"/>
      <w:sz w:val="40"/>
    </w:rPr>
  </w:style>
  <w:style w:styleId="Style_47_ch" w:type="character">
    <w:name w:val="Заголовок1"/>
    <w:link w:val="Style_47"/>
    <w:rPr>
      <w:rFonts w:ascii="XO Thames" w:hAnsi="XO Thames"/>
      <w:b w:val="1"/>
      <w:caps w:val="1"/>
      <w:sz w:val="40"/>
    </w:rPr>
  </w:style>
  <w:style w:styleId="Style_48" w:type="paragraph">
    <w:name w:val="Знак примечания1"/>
    <w:basedOn w:val="Style_36"/>
    <w:link w:val="Style_48_ch"/>
    <w:rPr>
      <w:sz w:val="16"/>
    </w:rPr>
  </w:style>
  <w:style w:styleId="Style_48_ch" w:type="character">
    <w:name w:val="Знак примечания1"/>
    <w:basedOn w:val="Style_36_ch"/>
    <w:link w:val="Style_48"/>
    <w:rPr>
      <w:sz w:val="16"/>
    </w:rPr>
  </w:style>
  <w:style w:styleId="Style_49" w:type="paragraph">
    <w:name w:val="toc 8"/>
    <w:next w:val="Style_4"/>
    <w:link w:val="Style_49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49_ch" w:type="character">
    <w:name w:val="toc 8"/>
    <w:link w:val="Style_49"/>
    <w:rPr>
      <w:rFonts w:ascii="XO Thames" w:hAnsi="XO Thames"/>
      <w:sz w:val="28"/>
    </w:rPr>
  </w:style>
  <w:style w:styleId="Style_2" w:type="paragraph">
    <w:name w:val="footnote reference"/>
    <w:link w:val="Style_2_ch"/>
    <w:rPr>
      <w:vertAlign w:val="superscript"/>
    </w:rPr>
  </w:style>
  <w:style w:styleId="Style_2_ch" w:type="character">
    <w:name w:val="footnote reference"/>
    <w:link w:val="Style_2"/>
    <w:rPr>
      <w:vertAlign w:val="superscript"/>
    </w:rPr>
  </w:style>
  <w:style w:styleId="Style_50" w:type="paragraph">
    <w:name w:val="Знак сноски1"/>
    <w:basedOn w:val="Style_42"/>
    <w:link w:val="Style_50_ch"/>
    <w:rPr>
      <w:vertAlign w:val="superscript"/>
    </w:rPr>
  </w:style>
  <w:style w:styleId="Style_50_ch" w:type="character">
    <w:name w:val="Знак сноски1"/>
    <w:basedOn w:val="Style_42_ch"/>
    <w:link w:val="Style_50"/>
    <w:rPr>
      <w:vertAlign w:val="superscript"/>
    </w:rPr>
  </w:style>
  <w:style w:styleId="Style_51" w:type="paragraph">
    <w:name w:val="toc 5"/>
    <w:next w:val="Style_4"/>
    <w:link w:val="Style_51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51_ch" w:type="character">
    <w:name w:val="toc 5"/>
    <w:link w:val="Style_51"/>
    <w:rPr>
      <w:rFonts w:ascii="XO Thames" w:hAnsi="XO Thames"/>
      <w:sz w:val="28"/>
    </w:rPr>
  </w:style>
  <w:style w:styleId="Style_52" w:type="paragraph">
    <w:name w:val="Заголовок 11"/>
    <w:link w:val="Style_52_ch"/>
    <w:rPr>
      <w:rFonts w:ascii="XO Thames" w:hAnsi="XO Thames"/>
      <w:b w:val="1"/>
      <w:sz w:val="32"/>
    </w:rPr>
  </w:style>
  <w:style w:styleId="Style_52_ch" w:type="character">
    <w:name w:val="Заголовок 11"/>
    <w:link w:val="Style_52"/>
    <w:rPr>
      <w:rFonts w:ascii="XO Thames" w:hAnsi="XO Thames"/>
      <w:b w:val="1"/>
      <w:sz w:val="32"/>
    </w:rPr>
  </w:style>
  <w:style w:styleId="Style_53" w:type="paragraph">
    <w:name w:val="Contents 5"/>
    <w:link w:val="Style_53_ch"/>
    <w:rPr>
      <w:rFonts w:ascii="XO Thames" w:hAnsi="XO Thames"/>
      <w:sz w:val="28"/>
    </w:rPr>
  </w:style>
  <w:style w:styleId="Style_53_ch" w:type="character">
    <w:name w:val="Contents 5"/>
    <w:link w:val="Style_53"/>
    <w:rPr>
      <w:rFonts w:ascii="XO Thames" w:hAnsi="XO Thames"/>
      <w:sz w:val="28"/>
    </w:rPr>
  </w:style>
  <w:style w:styleId="Style_54" w:type="paragraph">
    <w:name w:val="List"/>
    <w:basedOn w:val="Style_34"/>
    <w:link w:val="Style_54_ch"/>
    <w:rPr>
      <w:rFonts w:ascii="PT Astra Serif" w:hAnsi="PT Astra Serif"/>
    </w:rPr>
  </w:style>
  <w:style w:styleId="Style_54_ch" w:type="character">
    <w:name w:val="List"/>
    <w:basedOn w:val="Style_34_ch"/>
    <w:link w:val="Style_54"/>
    <w:rPr>
      <w:rFonts w:ascii="PT Astra Serif" w:hAnsi="PT Astra Serif"/>
    </w:rPr>
  </w:style>
  <w:style w:styleId="Style_55" w:type="paragraph">
    <w:name w:val="Заголовок 41"/>
    <w:link w:val="Style_55_ch"/>
    <w:rPr>
      <w:rFonts w:ascii="XO Thames" w:hAnsi="XO Thames"/>
      <w:b w:val="1"/>
      <w:sz w:val="24"/>
    </w:rPr>
  </w:style>
  <w:style w:styleId="Style_55_ch" w:type="character">
    <w:name w:val="Заголовок 41"/>
    <w:link w:val="Style_55"/>
    <w:rPr>
      <w:rFonts w:ascii="XO Thames" w:hAnsi="XO Thames"/>
      <w:b w:val="1"/>
      <w:sz w:val="24"/>
    </w:rPr>
  </w:style>
  <w:style w:styleId="Style_56" w:type="paragraph">
    <w:name w:val="endnote reference"/>
    <w:link w:val="Style_56_ch"/>
    <w:rPr>
      <w:vertAlign w:val="superscript"/>
    </w:rPr>
  </w:style>
  <w:style w:styleId="Style_56_ch" w:type="character">
    <w:name w:val="endnote reference"/>
    <w:link w:val="Style_56"/>
    <w:rPr>
      <w:vertAlign w:val="superscript"/>
    </w:rPr>
  </w:style>
  <w:style w:styleId="Style_57" w:type="paragraph">
    <w:name w:val="Default Paragraph Font"/>
    <w:link w:val="Style_57_ch"/>
  </w:style>
  <w:style w:styleId="Style_57_ch" w:type="character">
    <w:name w:val="Default Paragraph Font"/>
    <w:link w:val="Style_57"/>
  </w:style>
  <w:style w:styleId="Style_58" w:type="paragraph">
    <w:name w:val="Contents 3"/>
    <w:link w:val="Style_58_ch"/>
    <w:rPr>
      <w:rFonts w:ascii="XO Thames" w:hAnsi="XO Thames"/>
      <w:sz w:val="28"/>
    </w:rPr>
  </w:style>
  <w:style w:styleId="Style_58_ch" w:type="character">
    <w:name w:val="Contents 3"/>
    <w:link w:val="Style_58"/>
    <w:rPr>
      <w:rFonts w:ascii="XO Thames" w:hAnsi="XO Thames"/>
      <w:sz w:val="28"/>
    </w:rPr>
  </w:style>
  <w:style w:styleId="Style_59" w:type="paragraph">
    <w:name w:val="Subtitle"/>
    <w:next w:val="Style_4"/>
    <w:link w:val="Style_59_ch"/>
    <w:uiPriority w:val="11"/>
    <w:qFormat/>
    <w:pPr>
      <w:spacing w:after="160" w:line="264" w:lineRule="auto"/>
      <w:ind/>
      <w:jc w:val="both"/>
    </w:pPr>
    <w:rPr>
      <w:rFonts w:ascii="XO Thames" w:hAnsi="XO Thames"/>
      <w:i w:val="1"/>
      <w:sz w:val="24"/>
    </w:rPr>
  </w:style>
  <w:style w:styleId="Style_59_ch" w:type="character">
    <w:name w:val="Subtitle"/>
    <w:link w:val="Style_59"/>
    <w:rPr>
      <w:rFonts w:ascii="XO Thames" w:hAnsi="XO Thames"/>
      <w:i w:val="1"/>
      <w:sz w:val="24"/>
    </w:rPr>
  </w:style>
  <w:style w:styleId="Style_60" w:type="paragraph">
    <w:name w:val="annotation subject"/>
    <w:basedOn w:val="Style_29"/>
    <w:next w:val="Style_29"/>
    <w:link w:val="Style_60_ch"/>
    <w:rPr>
      <w:b w:val="1"/>
    </w:rPr>
  </w:style>
  <w:style w:styleId="Style_60_ch" w:type="character">
    <w:name w:val="annotation subject"/>
    <w:basedOn w:val="Style_29_ch"/>
    <w:link w:val="Style_60"/>
    <w:rPr>
      <w:b w:val="1"/>
    </w:rPr>
  </w:style>
  <w:style w:styleId="Style_61" w:type="paragraph">
    <w:name w:val="index heading"/>
    <w:basedOn w:val="Style_4"/>
    <w:link w:val="Style_61_ch"/>
    <w:rPr>
      <w:rFonts w:ascii="PT Astra Serif" w:hAnsi="PT Astra Serif"/>
    </w:rPr>
  </w:style>
  <w:style w:styleId="Style_61_ch" w:type="character">
    <w:name w:val="index heading"/>
    <w:basedOn w:val="Style_4_ch"/>
    <w:link w:val="Style_61"/>
    <w:rPr>
      <w:rFonts w:ascii="PT Astra Serif" w:hAnsi="PT Astra Serif"/>
    </w:rPr>
  </w:style>
  <w:style w:styleId="Style_62" w:type="paragraph">
    <w:name w:val="Заголовок 21"/>
    <w:link w:val="Style_62_ch"/>
    <w:rPr>
      <w:rFonts w:ascii="XO Thames" w:hAnsi="XO Thames"/>
      <w:b w:val="1"/>
      <w:sz w:val="28"/>
    </w:rPr>
  </w:style>
  <w:style w:styleId="Style_62_ch" w:type="character">
    <w:name w:val="Заголовок 21"/>
    <w:link w:val="Style_62"/>
    <w:rPr>
      <w:rFonts w:ascii="XO Thames" w:hAnsi="XO Thames"/>
      <w:b w:val="1"/>
      <w:sz w:val="28"/>
    </w:rPr>
  </w:style>
  <w:style w:styleId="Style_63" w:type="paragraph">
    <w:name w:val="Title"/>
    <w:next w:val="Style_34"/>
    <w:link w:val="Style_63_ch"/>
    <w:uiPriority w:val="10"/>
    <w:qFormat/>
    <w:pPr>
      <w:spacing w:after="567" w:before="567" w:line="264" w:lineRule="auto"/>
      <w:ind/>
      <w:jc w:val="center"/>
    </w:pPr>
    <w:rPr>
      <w:rFonts w:ascii="XO Thames" w:hAnsi="XO Thames"/>
      <w:b w:val="1"/>
      <w:caps w:val="1"/>
      <w:sz w:val="40"/>
    </w:rPr>
  </w:style>
  <w:style w:styleId="Style_63_ch" w:type="character">
    <w:name w:val="Title"/>
    <w:link w:val="Style_63"/>
    <w:rPr>
      <w:rFonts w:ascii="XO Thames" w:hAnsi="XO Thames"/>
      <w:b w:val="1"/>
      <w:caps w:val="1"/>
      <w:sz w:val="40"/>
    </w:rPr>
  </w:style>
  <w:style w:styleId="Style_64" w:type="paragraph">
    <w:name w:val="heading 4"/>
    <w:next w:val="Style_4"/>
    <w:link w:val="Style_64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64_ch" w:type="character">
    <w:name w:val="heading 4"/>
    <w:link w:val="Style_64"/>
    <w:rPr>
      <w:rFonts w:ascii="XO Thames" w:hAnsi="XO Thames"/>
      <w:b w:val="1"/>
      <w:sz w:val="24"/>
    </w:rPr>
  </w:style>
  <w:style w:styleId="Style_65" w:type="paragraph">
    <w:name w:val="Символ концевой сноски"/>
    <w:link w:val="Style_65_ch"/>
  </w:style>
  <w:style w:styleId="Style_65_ch" w:type="character">
    <w:name w:val="Символ концевой сноски"/>
    <w:link w:val="Style_65"/>
  </w:style>
  <w:style w:styleId="Style_66" w:type="paragraph">
    <w:name w:val="footer"/>
    <w:basedOn w:val="Style_4"/>
    <w:link w:val="Style_6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66_ch" w:type="character">
    <w:name w:val="footer"/>
    <w:basedOn w:val="Style_4_ch"/>
    <w:link w:val="Style_66"/>
  </w:style>
  <w:style w:styleId="Style_67" w:type="paragraph">
    <w:name w:val="heading 2"/>
    <w:next w:val="Style_4"/>
    <w:link w:val="Style_67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67_ch" w:type="character">
    <w:name w:val="heading 2"/>
    <w:link w:val="Style_67"/>
    <w:rPr>
      <w:rFonts w:ascii="XO Thames" w:hAnsi="XO Thames"/>
      <w:b w:val="1"/>
      <w:sz w:val="28"/>
    </w:rPr>
  </w:style>
  <w:style w:styleId="Style_68" w:type="paragraph">
    <w:name w:val="Contents 9"/>
    <w:link w:val="Style_68_ch"/>
    <w:rPr>
      <w:rFonts w:ascii="XO Thames" w:hAnsi="XO Thames"/>
      <w:sz w:val="28"/>
    </w:rPr>
  </w:style>
  <w:style w:styleId="Style_68_ch" w:type="character">
    <w:name w:val="Contents 9"/>
    <w:link w:val="Style_68"/>
    <w:rPr>
      <w:rFonts w:ascii="XO Thames" w:hAnsi="XO Thames"/>
      <w:sz w:val="28"/>
    </w:rPr>
  </w:style>
  <w:style w:styleId="Style_69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Сетка таблицы1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8" Target="endnotes.xml" Type="http://schemas.openxmlformats.org/officeDocument/2006/relationships/endnotes"/>
  <Relationship Id="rId4" Target="stylesWithEffects.xml" Type="http://schemas.microsoft.com/office/2007/relationships/stylesWithEffects"/>
  <Relationship Id="rId7" Target="footnotes.xml" Type="http://schemas.openxmlformats.org/officeDocument/2006/relationships/footnote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2025-05-26T09:48:08Z</dcterms:modified>
</cp:coreProperties>
</file>