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0" w:before="0" w:line="240" w:lineRule="auto"/>
        <w:ind w:firstLine="0" w:left="1077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4</w:t>
      </w:r>
    </w:p>
    <w:p w14:paraId="03000000">
      <w:pPr>
        <w:spacing w:after="0" w:before="0" w:line="240" w:lineRule="auto"/>
        <w:ind w:firstLine="0" w:left="1077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к постановлению </w:t>
      </w:r>
      <w:r>
        <w:rPr>
          <w:rFonts w:ascii="Times New Roman" w:hAnsi="Times New Roman"/>
          <w:sz w:val="22"/>
        </w:rPr>
        <w:t xml:space="preserve">администрации </w:t>
      </w:r>
    </w:p>
    <w:p w14:paraId="04000000">
      <w:pPr>
        <w:spacing w:after="0" w:before="0" w:line="240" w:lineRule="auto"/>
        <w:ind w:firstLine="0" w:left="1077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города Магнитогорска</w:t>
      </w:r>
    </w:p>
    <w:p w14:paraId="05000000">
      <w:pPr>
        <w:spacing w:after="0" w:before="0" w:line="240" w:lineRule="auto"/>
        <w:ind w:firstLine="0" w:left="1077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от </w:t>
      </w:r>
      <w:r>
        <w:rPr>
          <w:rFonts w:ascii="Times New Roman" w:hAnsi="Times New Roman"/>
          <w:sz w:val="22"/>
        </w:rPr>
        <w:t>13.05.2025 № 4168-П</w:t>
      </w:r>
    </w:p>
    <w:p w14:paraId="06000000">
      <w:pPr>
        <w:spacing w:after="0" w:before="0" w:line="240" w:lineRule="auto"/>
        <w:ind w:firstLine="0" w:left="10772"/>
        <w:rPr>
          <w:rFonts w:ascii="Times New Roman" w:hAnsi="Times New Roman"/>
          <w:sz w:val="22"/>
        </w:rPr>
      </w:pPr>
    </w:p>
    <w:p w14:paraId="07000000">
      <w:pPr>
        <w:spacing w:after="0" w:before="0" w:line="240" w:lineRule="auto"/>
        <w:ind w:firstLine="0" w:left="1077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4</w:t>
      </w:r>
    </w:p>
    <w:p w14:paraId="08000000">
      <w:pPr>
        <w:spacing w:after="0" w:before="0" w:line="240" w:lineRule="auto"/>
        <w:ind w:firstLine="0" w:left="1077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к муниципальной </w:t>
      </w:r>
      <w:r>
        <w:rPr>
          <w:rFonts w:ascii="Times New Roman" w:hAnsi="Times New Roman"/>
          <w:sz w:val="22"/>
        </w:rPr>
        <w:t>программе «Выполнение функций</w:t>
      </w:r>
    </w:p>
    <w:p w14:paraId="09000000">
      <w:pPr>
        <w:spacing w:after="0" w:before="0" w:line="240" w:lineRule="auto"/>
        <w:ind w:firstLine="0" w:left="1077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по управлению, владению, </w:t>
      </w:r>
      <w:r>
        <w:rPr>
          <w:rFonts w:ascii="Times New Roman" w:hAnsi="Times New Roman"/>
          <w:sz w:val="22"/>
        </w:rPr>
        <w:t xml:space="preserve">пользованию и распоряжению муниципальным </w:t>
      </w:r>
      <w:r>
        <w:rPr>
          <w:rFonts w:ascii="Times New Roman" w:hAnsi="Times New Roman"/>
          <w:sz w:val="22"/>
        </w:rPr>
        <w:t xml:space="preserve">имуществом в городе </w:t>
      </w:r>
      <w:r>
        <w:rPr>
          <w:rFonts w:ascii="Times New Roman" w:hAnsi="Times New Roman"/>
          <w:sz w:val="22"/>
        </w:rPr>
        <w:t>Магнитогорске» на 2025 – 2030 годы</w:t>
      </w:r>
    </w:p>
    <w:p w14:paraId="0A000000">
      <w:pPr>
        <w:spacing w:after="0" w:before="0" w:line="240" w:lineRule="auto"/>
        <w:ind/>
        <w:jc w:val="right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10348" w:left="0"/>
        <w:jc w:val="right"/>
        <w:rPr>
          <w:rFonts w:ascii="Times New Roman" w:hAnsi="Times New Roman"/>
        </w:rPr>
      </w:pPr>
    </w:p>
    <w:p w14:paraId="0C000000">
      <w:pPr>
        <w:spacing w:after="0" w:line="240" w:lineRule="auto"/>
        <w:ind/>
        <w:contextualSpacing w:val="1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Методика расчета и источники информации</w:t>
      </w:r>
    </w:p>
    <w:p w14:paraId="0D000000">
      <w:pPr>
        <w:spacing w:after="0" w:line="240" w:lineRule="auto"/>
        <w:ind/>
        <w:contextualSpacing w:val="1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 значениях целевых показателей муниципальной программы,</w:t>
      </w:r>
    </w:p>
    <w:p w14:paraId="0E000000">
      <w:pPr>
        <w:spacing w:after="0" w:line="240" w:lineRule="auto"/>
        <w:ind/>
        <w:contextualSpacing w:val="1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показателей структурных элементов</w:t>
      </w:r>
    </w:p>
    <w:p w14:paraId="0F000000">
      <w:pPr>
        <w:spacing w:after="108" w:before="108"/>
        <w:ind/>
        <w:contextualSpacing w:val="1"/>
        <w:jc w:val="center"/>
      </w:pPr>
      <w:r>
        <w:rPr>
          <w:rFonts w:ascii="Times New Roman" w:hAnsi="Times New Roman"/>
        </w:rPr>
        <w:t xml:space="preserve">муниципальной программы </w:t>
      </w:r>
      <w:r>
        <w:rPr>
          <w:rFonts w:ascii="Times New Roman" w:hAnsi="Times New Roman"/>
          <w:color w:val="26282F"/>
        </w:rPr>
        <w:t xml:space="preserve">«Выполнение функций по управлению, владению, пользованию и распоряжению </w:t>
      </w:r>
      <w:r>
        <w:rPr>
          <w:rFonts w:ascii="Times New Roman" w:hAnsi="Times New Roman"/>
          <w:color w:val="26282F"/>
        </w:rPr>
        <w:br/>
      </w:r>
      <w:r>
        <w:rPr>
          <w:rFonts w:ascii="Times New Roman" w:hAnsi="Times New Roman"/>
          <w:color w:val="26282F"/>
        </w:rPr>
        <w:t>муниципальным имуществом в городе Магнитогорске»</w:t>
      </w:r>
      <w:r>
        <w:rPr>
          <w:rFonts w:ascii="Times New Roman" w:hAnsi="Times New Roman"/>
        </w:rPr>
        <w:t xml:space="preserve"> на 2025 – 2030 годы</w:t>
      </w:r>
    </w:p>
    <w:p w14:paraId="10000000">
      <w:pPr>
        <w:spacing w:after="0" w:line="240" w:lineRule="auto"/>
        <w:ind/>
        <w:contextualSpacing w:val="1"/>
        <w:jc w:val="center"/>
      </w:pPr>
    </w:p>
    <w:tbl>
      <w:tblPr>
        <w:tblStyle w:val="Style_2"/>
        <w:tblW w:type="auto" w:w="0"/>
        <w:tblInd w:type="dxa" w:w="108"/>
        <w:tblLayout w:type="fixed"/>
      </w:tblPr>
      <w:tblGrid>
        <w:gridCol w:w="951"/>
        <w:gridCol w:w="1276"/>
        <w:gridCol w:w="2309"/>
        <w:gridCol w:w="1843"/>
        <w:gridCol w:w="4253"/>
        <w:gridCol w:w="3543"/>
      </w:tblGrid>
      <w:tr>
        <w:tc>
          <w:tcPr>
            <w:tcW w:type="dxa" w:w="951"/>
            <w:tcBorders>
              <w:bottom w:color="000000" w:sz="6" w:val="single"/>
            </w:tcBorders>
            <w:shd w:fill="auto" w:val="clear"/>
          </w:tcPr>
          <w:p w14:paraId="1100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585"/>
            <w:gridSpan w:val="2"/>
            <w:tcBorders>
              <w:bottom w:color="000000" w:sz="6" w:val="single"/>
            </w:tcBorders>
            <w:shd w:fill="auto" w:val="clear"/>
            <w:vAlign w:val="center"/>
          </w:tcPr>
          <w:p w14:paraId="1200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843"/>
            <w:tcBorders>
              <w:bottom w:color="000000" w:sz="6" w:val="single"/>
            </w:tcBorders>
            <w:shd w:fill="auto" w:val="clear"/>
          </w:tcPr>
          <w:p w14:paraId="1300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253"/>
            <w:tcBorders>
              <w:bottom w:color="000000" w:sz="6" w:val="single"/>
            </w:tcBorders>
            <w:shd w:fill="auto" w:val="clear"/>
            <w:vAlign w:val="center"/>
          </w:tcPr>
          <w:p w14:paraId="1400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543"/>
            <w:tcBorders>
              <w:bottom w:color="000000" w:sz="6" w:val="single"/>
            </w:tcBorders>
            <w:shd w:fill="auto" w:val="clear"/>
            <w:vAlign w:val="center"/>
          </w:tcPr>
          <w:p w14:paraId="1500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 </w:t>
            </w:r>
          </w:p>
          <w:p w14:paraId="17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показателя, </w:t>
            </w:r>
          </w:p>
          <w:p w14:paraId="19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Динамика показателя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B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 xml:space="preserve">Расчет целевого показателя </w:t>
            </w: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C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Источник получения информации о целевых показателях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17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00000">
            <w:pPr>
              <w:spacing w:after="108" w:before="108"/>
              <w:ind/>
              <w:jc w:val="center"/>
            </w:pPr>
            <w:r>
              <w:rPr>
                <w:rFonts w:ascii="Times New Roman" w:hAnsi="Times New Roman"/>
              </w:rPr>
              <w:t xml:space="preserve">Муниципальная программа </w:t>
            </w:r>
            <w:r>
              <w:rPr>
                <w:rFonts w:ascii="Times New Roman" w:hAnsi="Times New Roman"/>
                <w:color w:val="26282F"/>
              </w:rPr>
              <w:t>«Выполнение функций по управлению, владению, пользованию и распоряжению муниципальным имуществом в городе Магнитогорске»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на 2025 – 2030 годы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00000">
            <w:pPr>
              <w:widowControl w:val="0"/>
              <w:spacing w:after="0" w:line="240" w:lineRule="auto"/>
              <w:ind/>
              <w:jc w:val="center"/>
            </w:pPr>
            <w:bookmarkStart w:id="1" w:name="sub_1325"/>
            <w:r>
              <w:rPr>
                <w:rFonts w:ascii="Times New Roman" w:hAnsi="Times New Roman"/>
              </w:rPr>
              <w:t>1</w:t>
            </w:r>
            <w:bookmarkEnd w:id="1"/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0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Доля проведенных торгов по муниципальному имуществу и земельным участкам в процентах к общему количеству запланированных торгов, процент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t xml:space="preserve"> 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/</w:t>
            </w: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*100, где </w:t>
            </w:r>
          </w:p>
          <w:p w14:paraId="2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 – количество проведенных торгов,</w:t>
            </w:r>
          </w:p>
          <w:p w14:paraId="2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trike w:val="1"/>
              </w:rPr>
            </w:pP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 - количество запланированных торгов</w:t>
            </w:r>
          </w:p>
          <w:p w14:paraId="2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trike w:val="1"/>
              </w:rPr>
            </w:pP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00000">
            <w:r>
              <w:rPr>
                <w:rFonts w:ascii="Times New Roman" w:hAnsi="Times New Roman"/>
              </w:rPr>
              <w:t>Приказ Комитета от 13.02.2025 № 04/41 «О проведении торгов в 2025 году»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00000">
            <w:r>
              <w:rPr>
                <w:rFonts w:ascii="Times New Roman" w:hAnsi="Times New Roman"/>
              </w:rPr>
              <w:t>Процент выполнения плановых показателей по расходам на содержание муниципального имущества, процент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t xml:space="preserve"> 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/</w:t>
            </w: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*100, где </w:t>
            </w:r>
          </w:p>
          <w:p w14:paraId="2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 – количество кассовых расходов,</w:t>
            </w:r>
          </w:p>
          <w:p w14:paraId="3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 - количество запланированных расходов</w:t>
            </w:r>
          </w:p>
          <w:p w14:paraId="3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00000">
            <w:r>
              <w:rPr>
                <w:rFonts w:ascii="Times New Roman" w:hAnsi="Times New Roman"/>
              </w:rPr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</w:t>
            </w:r>
            <w:r>
              <w:t>  </w:t>
            </w:r>
          </w:p>
          <w:p w14:paraId="33000000"/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5000000">
            <w:r>
              <w:rPr>
                <w:rFonts w:ascii="Times New Roman" w:hAnsi="Times New Roman"/>
              </w:rPr>
              <w:t>Доля от проведенных проверок муниципальных зданий и помещений в процентах к общему количеству запланированных проверок для контроля за использованием муниципального имущества, процент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00000">
            <w:pPr>
              <w:widowControl w:val="0"/>
              <w:spacing w:after="0" w:line="240" w:lineRule="auto"/>
              <w:ind/>
              <w:jc w:val="both"/>
            </w:pPr>
            <w:r>
              <w:rPr>
                <w:rFonts w:ascii="Times New Roman" w:hAnsi="Times New Roman"/>
              </w:rPr>
              <w:t xml:space="preserve">  Больше-лучше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t xml:space="preserve"> 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/</w:t>
            </w: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*100, где </w:t>
            </w:r>
          </w:p>
          <w:p w14:paraId="3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 – количество проведенных проверок,</w:t>
            </w:r>
          </w:p>
          <w:p w14:paraId="3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 - количество запланированных проверок</w:t>
            </w:r>
          </w:p>
          <w:p w14:paraId="3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Комитета от 16.01.2025                          № КУИиЗО-04/3 «Об утверждении графика обследования переданных в безвозмездное пользование нежилых помещений и зданий на 2025 г.»;</w:t>
            </w:r>
          </w:p>
          <w:p w14:paraId="3C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Комитета от 16.01.2025                          № КУИиЗО-04/4 «Об утверждении графика обследования переданных в аренду муниципальных нежилых помещений на 2025 г.»;</w:t>
            </w:r>
          </w:p>
          <w:p w14:paraId="3D000000">
            <w:r>
              <w:rPr>
                <w:rFonts w:ascii="Times New Roman" w:hAnsi="Times New Roman"/>
              </w:rPr>
              <w:t>Приказ Комитета от 31.01.2025                          № КУИиЗО-04/40 «Об утверждении графика обследования пустующих муниципальных  нежилых помещений  на 2025 г.»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F000000">
            <w:pPr>
              <w:pStyle w:val="Style_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Взносы в уставный капитал хозяйствующих субъектов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0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t xml:space="preserve"> 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/</w:t>
            </w: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*100, где </w:t>
            </w:r>
          </w:p>
          <w:p w14:paraId="4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 – количество кассовых расходов на взносы в уставный капитал хозяйствующим субъектам,</w:t>
            </w:r>
          </w:p>
          <w:p w14:paraId="4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 - количество запланированных расходов на взносы в уставный капитал хозяйствующим субъектам</w:t>
            </w:r>
          </w:p>
          <w:p w14:paraId="4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00000">
            <w:r>
              <w:rPr>
                <w:rFonts w:ascii="Times New Roman" w:hAnsi="Times New Roman"/>
              </w:rPr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</w:t>
            </w:r>
            <w:r>
              <w:t>  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700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приобретаемых транспортных средств и специализированной техники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N = </w:t>
            </w:r>
            <w:r>
              <w:rPr>
                <w:rFonts w:ascii="Symbol" w:hAnsi="Symbol"/>
                <w:color w:val="000000"/>
              </w:rPr>
              <w:t>S</w:t>
            </w:r>
            <w:r>
              <w:rPr>
                <w:rFonts w:ascii="Times New Roman" w:hAnsi="Times New Roman"/>
                <w:color w:val="000000"/>
              </w:rPr>
              <w:t xml:space="preserve"> ni, где </w:t>
            </w:r>
          </w:p>
          <w:p w14:paraId="4A000000">
            <w:pPr>
              <w:widowControl w:val="0"/>
              <w:spacing w:after="0" w:line="240" w:lineRule="auto"/>
              <w:ind/>
              <w:jc w:val="both"/>
            </w:pPr>
            <w:r>
              <w:rPr>
                <w:rFonts w:ascii="Times New Roman" w:hAnsi="Times New Roman"/>
                <w:color w:val="000000"/>
              </w:rPr>
              <w:t>ni – количество приобретенных транспортных средств и специализированной техники в муниципальную собственность</w:t>
            </w: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о приемке, сформированный в соответствии со статьей 94 Федерального закона от 05.04.2013 №44-ФЗ</w:t>
            </w:r>
            <w:r>
              <w:rPr>
                <w:rFonts w:ascii="Times New Roman" w:hAnsi="Times New Roman"/>
              </w:rPr>
              <w:t xml:space="preserve"> «О контрактной системе в сфере закупок товаров, работ, услуг для</w:t>
            </w:r>
            <w:r>
              <w:rPr>
                <w:rFonts w:ascii="Times New Roman" w:hAnsi="Times New Roman"/>
              </w:rPr>
              <w:t xml:space="preserve"> обеспечения государственных и муниципальных нужд»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224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Направление 1. «Обеспечение управления муниципальным имуществом и земельными отношениями»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00000">
            <w:pPr>
              <w:widowControl w:val="0"/>
              <w:spacing w:after="108" w:before="108" w:line="240" w:lineRule="auto"/>
              <w:ind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type="dxa" w:w="11948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0000000">
            <w:pPr>
              <w:widowControl w:val="0"/>
              <w:spacing w:after="108" w:before="108" w:line="240" w:lineRule="auto"/>
              <w:ind/>
              <w:jc w:val="center"/>
              <w:outlineLvl w:val="0"/>
            </w:pPr>
            <w:r>
              <w:rPr>
                <w:rFonts w:ascii="Times New Roman" w:hAnsi="Times New Roman"/>
              </w:rPr>
              <w:t xml:space="preserve">1.1 </w:t>
            </w:r>
            <w:r>
              <w:rPr>
                <w:rFonts w:ascii="Times New Roman" w:hAnsi="Times New Roman"/>
              </w:rPr>
              <w:t>Комплекс процессных мероприятий  «Управление муниципальным имуществом и земельными отношениями»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0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Проведено торгов по муниципальному имуществу и земельным участок в процентах к общему количеству запланированных торгов, процент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t xml:space="preserve"> 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/</w:t>
            </w: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*100, где </w:t>
            </w:r>
          </w:p>
          <w:p w14:paraId="5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 – количество проведенных торгов,</w:t>
            </w:r>
          </w:p>
          <w:p w14:paraId="5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trike w:val="1"/>
              </w:rPr>
            </w:pP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 - количество запланированных торгов</w:t>
            </w:r>
          </w:p>
          <w:p w14:paraId="5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trike w:val="1"/>
              </w:rPr>
            </w:pP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00000">
            <w:r>
              <w:rPr>
                <w:rFonts w:ascii="Times New Roman" w:hAnsi="Times New Roman"/>
              </w:rPr>
              <w:t>Приказ Комитета от 13.02.2025 № 04/41 «О проведении торгов в 2025 году»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00000">
            <w:r>
              <w:rPr>
                <w:rFonts w:ascii="Times New Roman" w:hAnsi="Times New Roman"/>
              </w:rPr>
              <w:t>Выполнено плановых показателей по расходам на содержание муниципального имущества, процент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t xml:space="preserve"> 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/</w:t>
            </w: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*100, где </w:t>
            </w:r>
          </w:p>
          <w:p w14:paraId="5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 – количество кассовых расходов,</w:t>
            </w:r>
          </w:p>
          <w:p w14:paraId="5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 - количество запланированных расходов</w:t>
            </w:r>
          </w:p>
          <w:p w14:paraId="5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00000">
            <w:r>
              <w:rPr>
                <w:rFonts w:ascii="Times New Roman" w:hAnsi="Times New Roman"/>
              </w:rPr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2000000">
            <w:r>
              <w:rPr>
                <w:rFonts w:ascii="Times New Roman" w:hAnsi="Times New Roman"/>
              </w:rPr>
              <w:t>Проведено проверок муниципальных зданий и помещений в процентах к общему количеству запланированных проверок для контроля за использованием муниципального имущества, процент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0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t xml:space="preserve"> 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/</w:t>
            </w: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>*100, где</w:t>
            </w:r>
          </w:p>
          <w:p w14:paraId="6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 – количество проведенных проверок,</w:t>
            </w:r>
          </w:p>
          <w:p w14:paraId="6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 - количество запланированных проверок</w:t>
            </w:r>
          </w:p>
          <w:p w14:paraId="6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Комитета от 16.01.2025                          № КУИиЗО-04/3 «Об утверждении графика обследования переданных в безвозмездное пользование нежилых помещений и зданий на 2025 г.»;</w:t>
            </w:r>
          </w:p>
          <w:p w14:paraId="69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Комитета от 16.01.2025                          № КУИиЗО-04/4 «Об утверждении графика обследования переданных в аренду муниципальных нежилых помещений на 2025 г.»;</w:t>
            </w:r>
          </w:p>
          <w:p w14:paraId="6A000000">
            <w:r>
              <w:rPr>
                <w:rFonts w:ascii="Times New Roman" w:hAnsi="Times New Roman"/>
              </w:rPr>
              <w:t>Приказ Комитета от 31.01.2025                          № КУИиЗО-04/40 «Об утверждении графика обследования пустующих муниципальных  нежилых помещений  на 2025 г.»</w:t>
            </w:r>
          </w:p>
        </w:tc>
      </w:tr>
      <w:tr>
        <w:tc>
          <w:tcPr>
            <w:tcW w:type="dxa" w:w="1417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 </w:t>
            </w:r>
            <w:r>
              <w:rPr>
                <w:rFonts w:ascii="Times New Roman" w:hAnsi="Times New Roman"/>
              </w:rPr>
              <w:t>Комплекс процессных мероприятий  «Увеличение уставного капитала хозяйствующих субъектов»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D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Перечислены взносы в уставной капитал хозяйствующих субъектов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0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t xml:space="preserve"> 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/</w:t>
            </w: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*100, где </w:t>
            </w:r>
          </w:p>
          <w:p w14:paraId="7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 – количество кассовых расходов на взносы в уставный капитал хозяйствующим субъектам,</w:t>
            </w:r>
          </w:p>
          <w:p w14:paraId="7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 - количество запланированных расходов на взносы в уставный капитал хозяйствующим субъектам</w:t>
            </w:r>
          </w:p>
          <w:p w14:paraId="7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00000">
            <w:r>
              <w:rPr>
                <w:rFonts w:ascii="Times New Roman" w:hAnsi="Times New Roman"/>
              </w:rPr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</w:t>
            </w:r>
            <w:r>
              <w:t>  </w:t>
            </w:r>
          </w:p>
        </w:tc>
      </w:tr>
      <w:tr>
        <w:tc>
          <w:tcPr>
            <w:tcW w:type="dxa" w:w="1417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00000">
            <w:pPr>
              <w:widowControl w:val="0"/>
              <w:spacing w:after="108" w:before="108" w:line="240" w:lineRule="auto"/>
              <w:ind/>
              <w:jc w:val="center"/>
              <w:outlineLvl w:val="0"/>
            </w:pPr>
            <w:r>
              <w:rPr>
                <w:rFonts w:ascii="Times New Roman" w:hAnsi="Times New Roman"/>
              </w:rPr>
              <w:t xml:space="preserve">1.3. </w:t>
            </w:r>
            <w:r>
              <w:rPr>
                <w:rFonts w:ascii="Times New Roman" w:hAnsi="Times New Roman"/>
              </w:rPr>
              <w:t>Комплекс процессных мероприятий  «Приобретение транспортных средств и специализированной техники в муниципальную собственность»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600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транспортных средств и специализированной техники в муниципальную собственность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N = </w:t>
            </w:r>
            <w:r>
              <w:rPr>
                <w:rFonts w:ascii="Symbol" w:hAnsi="Symbol"/>
                <w:color w:val="000000"/>
              </w:rPr>
              <w:t>S</w:t>
            </w:r>
            <w:r>
              <w:rPr>
                <w:rFonts w:ascii="Times New Roman" w:hAnsi="Times New Roman"/>
                <w:color w:val="000000"/>
              </w:rPr>
              <w:t xml:space="preserve"> ni, где </w:t>
            </w:r>
          </w:p>
          <w:p w14:paraId="79000000">
            <w:pPr>
              <w:widowControl w:val="0"/>
              <w:spacing w:after="0" w:line="240" w:lineRule="auto"/>
              <w:ind/>
              <w:jc w:val="both"/>
            </w:pPr>
            <w:r>
              <w:rPr>
                <w:rFonts w:ascii="Times New Roman" w:hAnsi="Times New Roman"/>
                <w:color w:val="000000"/>
              </w:rPr>
              <w:t>ni – количество приобретенных транспортных средств и специализированной техники в муниципальную собственность</w:t>
            </w:r>
          </w:p>
        </w:tc>
        <w:tc>
          <w:tcPr>
            <w:tcW w:type="dxa" w:w="3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о приемке, сформированный в соответствии со статьей 94 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</w:tbl>
    <w:p w14:paraId="7B000000"/>
    <w:sectPr>
      <w:headerReference r:id="rId1" w:type="first"/>
      <w:pgSz w:h="11908" w:orient="landscape" w:w="16848"/>
      <w:pgMar w:bottom="1134" w:footer="720" w:gutter="0" w:header="708" w:left="1134" w:right="113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160" w:line="252" w:lineRule="auto"/>
      <w:ind/>
    </w:pPr>
    <w:rPr>
      <w:rFonts w:ascii="Calibri" w:hAnsi="Calibri"/>
      <w:sz w:val="22"/>
    </w:rPr>
  </w:style>
  <w:style w:default="1" w:styleId="Style_4_ch" w:type="character">
    <w:name w:val="Normal"/>
    <w:link w:val="Style_4"/>
    <w:rPr>
      <w:rFonts w:ascii="Calibri" w:hAnsi="Calibri"/>
      <w:sz w:val="22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Заголовок таблицы"/>
    <w:basedOn w:val="Style_9"/>
    <w:link w:val="Style_8_ch"/>
    <w:pPr>
      <w:ind/>
      <w:jc w:val="center"/>
    </w:pPr>
    <w:rPr>
      <w:b w:val="1"/>
    </w:rPr>
  </w:style>
  <w:style w:styleId="Style_8_ch" w:type="character">
    <w:name w:val="Заголовок таблицы"/>
    <w:basedOn w:val="Style_9_ch"/>
    <w:link w:val="Style_8"/>
    <w:rPr>
      <w:b w:val="1"/>
    </w:rPr>
  </w:style>
  <w:style w:styleId="Style_10" w:type="paragraph">
    <w:name w:val="toc 7"/>
    <w:next w:val="Style_4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List"/>
    <w:basedOn w:val="Style_3"/>
    <w:link w:val="Style_11_ch"/>
    <w:rPr>
      <w:rFonts w:ascii="PT Astra Serif" w:hAnsi="PT Astra Serif"/>
    </w:rPr>
  </w:style>
  <w:style w:styleId="Style_11_ch" w:type="character">
    <w:name w:val="List"/>
    <w:basedOn w:val="Style_3_ch"/>
    <w:link w:val="Style_11"/>
    <w:rPr>
      <w:rFonts w:ascii="PT Astra Serif" w:hAnsi="PT Astra Serif"/>
    </w:rPr>
  </w:style>
  <w:style w:styleId="Style_12" w:type="paragraph">
    <w:name w:val="Текст выноски Знак"/>
    <w:link w:val="Style_12_ch"/>
    <w:rPr>
      <w:rFonts w:ascii="Segoe UI" w:hAnsi="Segoe UI"/>
      <w:sz w:val="18"/>
    </w:rPr>
  </w:style>
  <w:style w:styleId="Style_12_ch" w:type="character">
    <w:name w:val="Текст выноски Знак"/>
    <w:link w:val="Style_12"/>
    <w:rPr>
      <w:rFonts w:ascii="Segoe UI" w:hAnsi="Segoe UI"/>
      <w:sz w:val="18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4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Нижний колонтитул Знак"/>
    <w:link w:val="Style_15_ch"/>
    <w:rPr>
      <w:sz w:val="22"/>
    </w:rPr>
  </w:style>
  <w:style w:styleId="Style_15_ch" w:type="character">
    <w:name w:val="Нижний колонтитул Знак"/>
    <w:link w:val="Style_15"/>
    <w:rPr>
      <w:sz w:val="22"/>
    </w:rPr>
  </w:style>
  <w:style w:styleId="Style_16" w:type="paragraph">
    <w:name w:val="footer"/>
    <w:basedOn w:val="Style_4"/>
    <w:link w:val="Style_16_ch"/>
    <w:pPr>
      <w:tabs>
        <w:tab w:leader="none" w:pos="4677" w:val="center"/>
        <w:tab w:leader="none" w:pos="9355" w:val="right"/>
      </w:tabs>
      <w:ind/>
    </w:pPr>
  </w:style>
  <w:style w:styleId="Style_16_ch" w:type="character">
    <w:name w:val="footer"/>
    <w:basedOn w:val="Style_4_ch"/>
    <w:link w:val="Style_16"/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17" w:type="paragraph">
    <w:name w:val="caption"/>
    <w:basedOn w:val="Style_4"/>
    <w:link w:val="Style_17_ch"/>
    <w:pPr>
      <w:spacing w:after="120" w:before="120"/>
      <w:ind/>
    </w:pPr>
    <w:rPr>
      <w:rFonts w:ascii="PT Astra Serif" w:hAnsi="PT Astra Serif"/>
      <w:i w:val="1"/>
      <w:sz w:val="24"/>
    </w:rPr>
  </w:style>
  <w:style w:styleId="Style_17_ch" w:type="character">
    <w:name w:val="caption"/>
    <w:basedOn w:val="Style_4_ch"/>
    <w:link w:val="Style_17"/>
    <w:rPr>
      <w:rFonts w:ascii="PT Astra Serif" w:hAnsi="PT Astra Serif"/>
      <w:i w:val="1"/>
      <w:sz w:val="24"/>
    </w:rPr>
  </w:style>
  <w:style w:styleId="Style_18" w:type="paragraph">
    <w:name w:val="ConsPlusNormal"/>
    <w:link w:val="Style_18_ch"/>
    <w:pPr>
      <w:widowControl w:val="0"/>
      <w:ind/>
    </w:pPr>
    <w:rPr>
      <w:rFonts w:ascii="Calibri" w:hAnsi="Calibri"/>
      <w:color w:val="000000"/>
      <w:sz w:val="22"/>
    </w:rPr>
  </w:style>
  <w:style w:styleId="Style_18_ch" w:type="character">
    <w:name w:val="ConsPlusNormal"/>
    <w:link w:val="Style_18"/>
    <w:rPr>
      <w:rFonts w:ascii="Calibri" w:hAnsi="Calibri"/>
      <w:color w:val="000000"/>
      <w:sz w:val="22"/>
    </w:rPr>
  </w:style>
  <w:style w:styleId="Style_19" w:type="paragraph">
    <w:name w:val="Основной шрифт абзаца1"/>
    <w:link w:val="Style_19_ch"/>
  </w:style>
  <w:style w:styleId="Style_19_ch" w:type="character">
    <w:name w:val="Основной шрифт абзаца1"/>
    <w:link w:val="Style_19"/>
  </w:style>
  <w:style w:styleId="Style_20" w:type="paragraph">
    <w:name w:val="Balloon Text"/>
    <w:basedOn w:val="Style_4"/>
    <w:link w:val="Style_20_ch"/>
    <w:pPr>
      <w:spacing w:after="0" w:before="0" w:line="240" w:lineRule="auto"/>
      <w:ind/>
    </w:pPr>
    <w:rPr>
      <w:rFonts w:ascii="Segoe UI" w:hAnsi="Segoe UI"/>
      <w:sz w:val="18"/>
    </w:rPr>
  </w:style>
  <w:style w:styleId="Style_20_ch" w:type="character">
    <w:name w:val="Balloon Text"/>
    <w:basedOn w:val="Style_4_ch"/>
    <w:link w:val="Style_20"/>
    <w:rPr>
      <w:rFonts w:ascii="Segoe UI" w:hAnsi="Segoe UI"/>
      <w:sz w:val="18"/>
    </w:rPr>
  </w:style>
  <w:style w:styleId="Style_21" w:type="paragraph">
    <w:name w:val="toc 3"/>
    <w:next w:val="Style_4"/>
    <w:link w:val="Style_2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22" w:type="paragraph">
    <w:name w:val="Колонтитул"/>
    <w:basedOn w:val="Style_4"/>
    <w:link w:val="Style_22_ch"/>
    <w:pPr>
      <w:tabs>
        <w:tab w:leader="none" w:pos="4819" w:val="center"/>
        <w:tab w:leader="none" w:pos="9638" w:val="right"/>
      </w:tabs>
      <w:ind/>
    </w:pPr>
  </w:style>
  <w:style w:styleId="Style_22_ch" w:type="character">
    <w:name w:val="Колонтитул"/>
    <w:basedOn w:val="Style_4_ch"/>
    <w:link w:val="Style_22"/>
  </w:style>
  <w:style w:styleId="Style_23" w:type="paragraph">
    <w:name w:val="heading 5"/>
    <w:next w:val="Style_4"/>
    <w:link w:val="Style_2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3_ch" w:type="character">
    <w:name w:val="heading 5"/>
    <w:link w:val="Style_23"/>
    <w:rPr>
      <w:rFonts w:ascii="XO Thames" w:hAnsi="XO Thames"/>
      <w:b w:val="1"/>
      <w:sz w:val="22"/>
    </w:rPr>
  </w:style>
  <w:style w:styleId="Style_24" w:type="paragraph">
    <w:name w:val="heading 1"/>
    <w:next w:val="Style_4"/>
    <w:link w:val="Style_2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4_ch" w:type="character">
    <w:name w:val="heading 1"/>
    <w:link w:val="Style_24"/>
    <w:rPr>
      <w:rFonts w:ascii="XO Thames" w:hAnsi="XO Thames"/>
      <w:b w:val="1"/>
      <w:sz w:val="32"/>
    </w:rPr>
  </w:style>
  <w:style w:styleId="Style_3" w:type="paragraph">
    <w:name w:val="Body Text"/>
    <w:basedOn w:val="Style_4"/>
    <w:link w:val="Style_3_ch"/>
    <w:pPr>
      <w:spacing w:after="140" w:before="0" w:line="276" w:lineRule="auto"/>
      <w:ind/>
    </w:pPr>
  </w:style>
  <w:style w:styleId="Style_3_ch" w:type="character">
    <w:name w:val="Body Text"/>
    <w:basedOn w:val="Style_4_ch"/>
    <w:link w:val="Style_3"/>
  </w:style>
  <w:style w:styleId="Style_25" w:type="paragraph">
    <w:name w:val="Hyperlink"/>
    <w:link w:val="Style_25_ch"/>
    <w:rPr>
      <w:color w:val="0000FF"/>
      <w:u w:val="single"/>
    </w:rPr>
  </w:style>
  <w:style w:styleId="Style_25_ch" w:type="character">
    <w:name w:val="Hyperlink"/>
    <w:link w:val="Style_25"/>
    <w:rPr>
      <w:color w:val="0000FF"/>
      <w:u w:val="single"/>
    </w:rPr>
  </w:style>
  <w:style w:styleId="Style_26" w:type="paragraph">
    <w:name w:val="Footnote"/>
    <w:link w:val="Style_26_ch"/>
    <w:pPr>
      <w:ind w:firstLine="851" w:left="0"/>
      <w:jc w:val="both"/>
    </w:pPr>
    <w:rPr>
      <w:rFonts w:ascii="XO Thames" w:hAnsi="XO Thames"/>
      <w:sz w:val="22"/>
    </w:rPr>
  </w:style>
  <w:style w:styleId="Style_26_ch" w:type="character">
    <w:name w:val="Footnote"/>
    <w:link w:val="Style_26"/>
    <w:rPr>
      <w:rFonts w:ascii="XO Thames" w:hAnsi="XO Thames"/>
      <w:sz w:val="22"/>
    </w:rPr>
  </w:style>
  <w:style w:styleId="Style_27" w:type="paragraph">
    <w:name w:val="toc 1"/>
    <w:next w:val="Style_4"/>
    <w:link w:val="Style_2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28" w:type="paragraph">
    <w:name w:val="Default Paragraph Font"/>
    <w:link w:val="Style_28_ch"/>
  </w:style>
  <w:style w:styleId="Style_28_ch" w:type="character">
    <w:name w:val="Default Paragraph Font"/>
    <w:link w:val="Style_28"/>
  </w:style>
  <w:style w:styleId="Style_29" w:type="paragraph">
    <w:name w:val="Header and Footer"/>
    <w:link w:val="Style_29_ch"/>
    <w:pPr>
      <w:spacing w:line="240" w:lineRule="auto"/>
      <w:ind/>
      <w:jc w:val="both"/>
    </w:pPr>
    <w:rPr>
      <w:rFonts w:ascii="XO Thames" w:hAnsi="XO Thames"/>
      <w:sz w:val="28"/>
    </w:rPr>
  </w:style>
  <w:style w:styleId="Style_29_ch" w:type="character">
    <w:name w:val="Header and Footer"/>
    <w:link w:val="Style_29"/>
    <w:rPr>
      <w:rFonts w:ascii="XO Thames" w:hAnsi="XO Thames"/>
      <w:sz w:val="28"/>
    </w:rPr>
  </w:style>
  <w:style w:styleId="Style_30" w:type="paragraph">
    <w:name w:val="Содержимое врезки"/>
    <w:basedOn w:val="Style_4"/>
    <w:link w:val="Style_30_ch"/>
  </w:style>
  <w:style w:styleId="Style_30_ch" w:type="character">
    <w:name w:val="Содержимое врезки"/>
    <w:basedOn w:val="Style_4_ch"/>
    <w:link w:val="Style_30"/>
  </w:style>
  <w:style w:styleId="Style_31" w:type="paragraph">
    <w:name w:val="Нормальный (таблица)"/>
    <w:basedOn w:val="Style_4"/>
    <w:next w:val="Style_4"/>
    <w:link w:val="Style_31_ch"/>
    <w:pPr>
      <w:widowControl w:val="0"/>
      <w:spacing w:after="0" w:before="0" w:line="240" w:lineRule="auto"/>
      <w:ind/>
      <w:jc w:val="both"/>
    </w:pPr>
    <w:rPr>
      <w:rFonts w:ascii="Arial" w:hAnsi="Arial"/>
      <w:sz w:val="24"/>
    </w:rPr>
  </w:style>
  <w:style w:styleId="Style_31_ch" w:type="character">
    <w:name w:val="Нормальный (таблица)"/>
    <w:basedOn w:val="Style_4_ch"/>
    <w:link w:val="Style_31"/>
    <w:rPr>
      <w:rFonts w:ascii="Arial" w:hAnsi="Arial"/>
      <w:sz w:val="24"/>
    </w:rPr>
  </w:style>
  <w:style w:styleId="Style_32" w:type="paragraph">
    <w:name w:val="toc 9"/>
    <w:next w:val="Style_4"/>
    <w:link w:val="Style_3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2_ch" w:type="character">
    <w:name w:val="toc 9"/>
    <w:link w:val="Style_32"/>
    <w:rPr>
      <w:rFonts w:ascii="XO Thames" w:hAnsi="XO Thames"/>
      <w:sz w:val="28"/>
    </w:rPr>
  </w:style>
  <w:style w:styleId="Style_33" w:type="paragraph">
    <w:name w:val="Указатель1"/>
    <w:basedOn w:val="Style_4"/>
    <w:link w:val="Style_33_ch"/>
    <w:rPr>
      <w:rFonts w:ascii="PT Astra Serif" w:hAnsi="PT Astra Serif"/>
    </w:rPr>
  </w:style>
  <w:style w:styleId="Style_33_ch" w:type="character">
    <w:name w:val="Указатель1"/>
    <w:basedOn w:val="Style_4_ch"/>
    <w:link w:val="Style_33"/>
    <w:rPr>
      <w:rFonts w:ascii="PT Astra Serif" w:hAnsi="PT Astra Serif"/>
    </w:rPr>
  </w:style>
  <w:style w:styleId="Style_34" w:type="paragraph">
    <w:name w:val="toc 8"/>
    <w:next w:val="Style_4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Заголовок1"/>
    <w:basedOn w:val="Style_4"/>
    <w:next w:val="Style_3"/>
    <w:link w:val="Style_35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5_ch" w:type="character">
    <w:name w:val="Заголовок1"/>
    <w:basedOn w:val="Style_4_ch"/>
    <w:link w:val="Style_35"/>
    <w:rPr>
      <w:rFonts w:ascii="PT Astra Serif" w:hAnsi="PT Astra Serif"/>
      <w:sz w:val="28"/>
    </w:rPr>
  </w:style>
  <w:style w:styleId="Style_36" w:type="paragraph">
    <w:name w:val="Верхний колонтитул Знак"/>
    <w:link w:val="Style_36_ch"/>
    <w:rPr>
      <w:sz w:val="22"/>
    </w:rPr>
  </w:style>
  <w:style w:styleId="Style_36_ch" w:type="character">
    <w:name w:val="Верхний колонтитул Знак"/>
    <w:link w:val="Style_36"/>
    <w:rPr>
      <w:sz w:val="22"/>
    </w:rPr>
  </w:style>
  <w:style w:styleId="Style_37" w:type="paragraph">
    <w:name w:val="toc 5"/>
    <w:next w:val="Style_4"/>
    <w:link w:val="Style_3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7_ch" w:type="character">
    <w:name w:val="toc 5"/>
    <w:link w:val="Style_37"/>
    <w:rPr>
      <w:rFonts w:ascii="XO Thames" w:hAnsi="XO Thames"/>
      <w:sz w:val="28"/>
    </w:rPr>
  </w:style>
  <w:style w:styleId="Style_38" w:type="paragraph">
    <w:name w:val="Subtitle"/>
    <w:next w:val="Style_4"/>
    <w:link w:val="Style_3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8_ch" w:type="character">
    <w:name w:val="Subtitle"/>
    <w:link w:val="Style_38"/>
    <w:rPr>
      <w:rFonts w:ascii="XO Thames" w:hAnsi="XO Thames"/>
      <w:i w:val="1"/>
      <w:sz w:val="24"/>
    </w:rPr>
  </w:style>
  <w:style w:styleId="Style_39" w:type="paragraph">
    <w:name w:val="Title"/>
    <w:next w:val="Style_4"/>
    <w:link w:val="Style_3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9_ch" w:type="character">
    <w:name w:val="Title"/>
    <w:link w:val="Style_39"/>
    <w:rPr>
      <w:rFonts w:ascii="XO Thames" w:hAnsi="XO Thames"/>
      <w:b w:val="1"/>
      <w:caps w:val="1"/>
      <w:sz w:val="40"/>
    </w:rPr>
  </w:style>
  <w:style w:styleId="Style_40" w:type="paragraph">
    <w:name w:val="heading 4"/>
    <w:next w:val="Style_4"/>
    <w:link w:val="Style_4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0_ch" w:type="character">
    <w:name w:val="heading 4"/>
    <w:link w:val="Style_40"/>
    <w:rPr>
      <w:rFonts w:ascii="XO Thames" w:hAnsi="XO Thames"/>
      <w:b w:val="1"/>
      <w:sz w:val="24"/>
    </w:rPr>
  </w:style>
  <w:style w:styleId="Style_41" w:type="paragraph">
    <w:name w:val="heading 2"/>
    <w:next w:val="Style_4"/>
    <w:link w:val="Style_4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1_ch" w:type="character">
    <w:name w:val="heading 2"/>
    <w:link w:val="Style_41"/>
    <w:rPr>
      <w:rFonts w:ascii="XO Thames" w:hAnsi="XO Thames"/>
      <w:b w:val="1"/>
      <w:sz w:val="28"/>
    </w:rPr>
  </w:style>
  <w:style w:styleId="Style_9" w:type="paragraph">
    <w:name w:val="Содержимое таблицы"/>
    <w:basedOn w:val="Style_4"/>
    <w:link w:val="Style_9_ch"/>
    <w:pPr>
      <w:widowControl w:val="0"/>
      <w:ind/>
    </w:pPr>
  </w:style>
  <w:style w:styleId="Style_9_ch" w:type="character">
    <w:name w:val="Содержимое таблицы"/>
    <w:basedOn w:val="Style_4_ch"/>
    <w:link w:val="Style_9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2025-05-26T09:49:47Z</dcterms:modified>
</cp:coreProperties>
</file>