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>Приложение № 2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>города Магнитогорска</w:t>
      </w:r>
    </w:p>
    <w:p w14:paraId="05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</w:rPr>
        <w:t>28.04.2025 № 3836-П</w:t>
      </w:r>
    </w:p>
    <w:p w14:paraId="06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</w:p>
    <w:p w14:paraId="07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>Приложение № 2</w:t>
      </w:r>
    </w:p>
    <w:p w14:paraId="08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>к муниципальной программе</w:t>
      </w:r>
    </w:p>
    <w:p w14:paraId="09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>«Жилье в городе Магнитогорске»</w:t>
      </w:r>
    </w:p>
    <w:p w14:paraId="0A000000">
      <w:pPr>
        <w:pStyle w:val="Style_1"/>
        <w:widowControl w:val="0"/>
        <w:spacing w:after="0" w:before="0" w:line="240" w:lineRule="auto"/>
        <w:ind w:firstLine="0" w:left="10772" w:right="0"/>
        <w:jc w:val="left"/>
      </w:pPr>
      <w:r>
        <w:rPr>
          <w:rFonts w:ascii="Times New Roman" w:hAnsi="Times New Roman"/>
        </w:rPr>
        <w:t>на 2025-2030 годы</w:t>
      </w:r>
    </w:p>
    <w:p w14:paraId="0B000000">
      <w:pPr>
        <w:pStyle w:val="Style_1"/>
        <w:spacing w:after="0" w:before="0" w:line="240" w:lineRule="auto"/>
        <w:ind/>
        <w:jc w:val="right"/>
        <w:rPr>
          <w:rFonts w:ascii="Times New Roman" w:hAnsi="Times New Roman"/>
        </w:rPr>
      </w:pPr>
    </w:p>
    <w:p w14:paraId="0C000000">
      <w:pPr>
        <w:pStyle w:val="Style_1"/>
        <w:spacing w:after="0" w:before="0" w:line="240" w:lineRule="auto"/>
        <w:ind/>
        <w:jc w:val="right"/>
        <w:rPr>
          <w:rFonts w:ascii="Times New Roman" w:hAnsi="Times New Roman"/>
        </w:rPr>
      </w:pPr>
    </w:p>
    <w:p w14:paraId="0D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0E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Регионального проекта, реализуемого вне национального проекта </w:t>
      </w:r>
    </w:p>
    <w:p w14:paraId="0F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«Мероприятия по переселению граждан из жилищного фонда, признанного непригодным для проживания» </w:t>
      </w:r>
    </w:p>
    <w:p w14:paraId="10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11000000">
      <w:pPr>
        <w:pStyle w:val="Style_1"/>
        <w:widowControl w:val="0"/>
        <w:numPr>
          <w:ilvl w:val="0"/>
          <w:numId w:val="1"/>
        </w:numPr>
        <w:spacing w:after="0" w:before="0" w:line="240" w:lineRule="auto"/>
        <w:ind w:hanging="360" w:left="72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12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50"/>
        <w:gridCol w:w="832"/>
        <w:gridCol w:w="4400"/>
        <w:gridCol w:w="2167"/>
        <w:gridCol w:w="1183"/>
        <w:gridCol w:w="1638"/>
      </w:tblGrid>
      <w:tr>
        <w:tc>
          <w:tcPr>
            <w:tcW w:type="dxa" w:w="4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Краткое наименование проекта</w:t>
            </w:r>
          </w:p>
        </w:tc>
        <w:tc>
          <w:tcPr>
            <w:tcW w:type="dxa" w:w="523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Мероприятия по переселению граждан из жилищного фонда, признанного непригодным для проживания</w:t>
            </w: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Срок реализации проекта</w:t>
            </w:r>
          </w:p>
        </w:tc>
        <w:tc>
          <w:tcPr>
            <w:tcW w:type="dxa" w:w="1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2025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4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Куратор проекта</w:t>
            </w:r>
          </w:p>
        </w:tc>
        <w:tc>
          <w:tcPr>
            <w:tcW w:type="dxa" w:w="1022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Заместитель главы города курирующий сферу имущественных вопросов</w:t>
            </w:r>
          </w:p>
        </w:tc>
      </w:tr>
      <w:tr>
        <w:tc>
          <w:tcPr>
            <w:tcW w:type="dxa" w:w="4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Ответственный исполнитель проекта</w:t>
            </w:r>
          </w:p>
        </w:tc>
        <w:tc>
          <w:tcPr>
            <w:tcW w:type="dxa" w:w="1022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Комитет по управлению имуществом и земельными отношениями администрации города Магнитогорска </w:t>
            </w:r>
          </w:p>
        </w:tc>
      </w:tr>
      <w:tr>
        <w:tc>
          <w:tcPr>
            <w:tcW w:type="dxa" w:w="43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</w:t>
            </w:r>
          </w:p>
        </w:tc>
        <w:tc>
          <w:tcPr>
            <w:tcW w:type="dxa" w:w="4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Государственная программа Челябинской области</w:t>
            </w:r>
          </w:p>
        </w:tc>
        <w:tc>
          <w:tcPr>
            <w:tcW w:type="dxa" w:w="498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Обеспечение доступным и комфортным жильем граждан Российской Федерации в Челябинской области</w:t>
            </w:r>
          </w:p>
        </w:tc>
      </w:tr>
      <w:tr>
        <w:tc>
          <w:tcPr>
            <w:tcW w:type="dxa" w:w="4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1.1.</w:t>
            </w:r>
          </w:p>
        </w:tc>
        <w:tc>
          <w:tcPr>
            <w:tcW w:type="dxa" w:w="4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498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</w:tr>
    </w:tbl>
    <w:p w14:paraId="23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24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5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проекта</w:t>
      </w:r>
    </w:p>
    <w:p w14:paraId="26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94"/>
        <w:gridCol w:w="2394"/>
        <w:gridCol w:w="1132"/>
        <w:gridCol w:w="1131"/>
        <w:gridCol w:w="2428"/>
        <w:gridCol w:w="645"/>
        <w:gridCol w:w="645"/>
        <w:gridCol w:w="645"/>
        <w:gridCol w:w="645"/>
        <w:gridCol w:w="645"/>
        <w:gridCol w:w="645"/>
        <w:gridCol w:w="1747"/>
        <w:gridCol w:w="1474"/>
      </w:tblGrid>
      <w:tr>
        <w:tc>
          <w:tcPr>
            <w:tcW w:type="dxa" w:w="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spacing w:after="0" w:before="0" w:line="240" w:lineRule="auto"/>
              <w:ind w:firstLine="0" w:left="-113" w:right="-113"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spacing w:after="0" w:before="0" w:line="240" w:lineRule="auto"/>
              <w:ind w:firstLine="0" w:left="-113" w:right="-113"/>
              <w:jc w:val="center"/>
            </w:pPr>
            <w:r>
              <w:rPr>
                <w:rFonts w:ascii="Times New Roman" w:hAnsi="Times New Roman"/>
              </w:rPr>
              <w:t>Показатели проекта</w:t>
            </w:r>
          </w:p>
        </w:tc>
        <w:tc>
          <w:tcPr>
            <w:tcW w:type="dxa" w:w="11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spacing w:after="0" w:before="0" w:line="240" w:lineRule="auto"/>
              <w:ind w:firstLine="0" w:left="-113" w:right="-113"/>
              <w:jc w:val="center"/>
            </w:pPr>
            <w:r>
              <w:rPr>
                <w:rFonts w:ascii="Times New Roman" w:hAnsi="Times New Roman"/>
              </w:rPr>
              <w:t>Уровень показателя</w:t>
            </w:r>
          </w:p>
        </w:tc>
        <w:tc>
          <w:tcPr>
            <w:tcW w:type="dxa" w:w="11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spacing w:after="0" w:before="0" w:line="240" w:lineRule="auto"/>
              <w:ind w:firstLine="0" w:left="-113" w:right="-113"/>
              <w:jc w:val="center"/>
            </w:pPr>
            <w:r>
              <w:rPr>
                <w:rFonts w:ascii="Times New Roman" w:hAnsi="Times New Roman"/>
              </w:rPr>
              <w:t xml:space="preserve">Единица </w:t>
            </w: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type="dxa" w:w="24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spacing w:after="0" w:before="0" w:line="240" w:lineRule="auto"/>
              <w:ind w:firstLine="0" w:left="-113" w:right="-113"/>
              <w:jc w:val="center"/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87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00000">
            <w:pPr>
              <w:spacing w:after="0" w:before="0" w:line="240" w:lineRule="auto"/>
              <w:ind w:firstLine="0" w:left="-113" w:right="-113"/>
              <w:jc w:val="center"/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  <w:p w14:paraId="2D00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spacing w:after="0" w:before="0" w:line="240" w:lineRule="auto"/>
              <w:ind w:firstLine="0" w:left="-113" w:right="-113"/>
              <w:jc w:val="center"/>
            </w:pPr>
            <w:r>
              <w:rPr>
                <w:rFonts w:ascii="Times New Roman" w:hAnsi="Times New Roman"/>
              </w:rPr>
              <w:t>Признак возрастания/</w:t>
            </w:r>
            <w:r>
              <w:br/>
            </w:r>
            <w:r>
              <w:rPr>
                <w:rFonts w:ascii="Times New Roman" w:hAnsi="Times New Roman"/>
              </w:rPr>
              <w:t>убывания</w:t>
            </w:r>
          </w:p>
        </w:tc>
        <w:tc>
          <w:tcPr>
            <w:tcW w:type="dxa" w:w="14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spacing w:after="0" w:before="0" w:line="240" w:lineRule="auto"/>
              <w:ind w:firstLine="0" w:left="-113" w:right="-113"/>
              <w:jc w:val="center"/>
            </w:pPr>
            <w:r>
              <w:rPr>
                <w:rFonts w:ascii="Times New Roman" w:hAnsi="Times New Roman"/>
              </w:rPr>
              <w:t>Нарастающий итог</w:t>
            </w:r>
          </w:p>
        </w:tc>
      </w:tr>
      <w:tr>
        <w:tc>
          <w:tcPr>
            <w:tcW w:type="dxa" w:w="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1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4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rPr>
          <w:trHeight w:hRule="atLeast" w:val="200"/>
        </w:trPr>
        <w:tc>
          <w:tcPr>
            <w:tcW w:type="dxa" w:w="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</w:tc>
        <w:tc>
          <w:tcPr>
            <w:tcW w:type="dxa" w:w="141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Задача 1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2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Количество квадратных метров приобретенного жилья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ГП, РП, ВДЛ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кв. м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3 353,90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864,6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Возрастающий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1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2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ГП, РП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человек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124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55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Возрастающий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1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1.3</w:t>
            </w:r>
          </w:p>
        </w:tc>
        <w:tc>
          <w:tcPr>
            <w:tcW w:type="dxa" w:w="2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ГП, РП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кв. м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1 718,89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720,5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Возрастающий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pStyle w:val="Style_1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1.4</w:t>
            </w:r>
          </w:p>
        </w:tc>
        <w:tc>
          <w:tcPr>
            <w:tcW w:type="dxa" w:w="2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(выкупной стоимости)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ГП, РП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кв. м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119,62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0,0</w:t>
            </w:r>
          </w:p>
        </w:tc>
        <w:tc>
          <w:tcPr>
            <w:tcW w:type="dxa" w:w="1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Возрастающий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pStyle w:val="Style_1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</w:tc>
        <w:tc>
          <w:tcPr>
            <w:tcW w:type="dxa" w:w="14176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pStyle w:val="Style_1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2.1</w:t>
            </w:r>
          </w:p>
        </w:tc>
        <w:tc>
          <w:tcPr>
            <w:tcW w:type="dxa" w:w="2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Внесение сведений в АИС ППК «ФРТ»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ГП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процент</w:t>
            </w:r>
          </w:p>
        </w:tc>
        <w:tc>
          <w:tcPr>
            <w:tcW w:type="dxa" w:w="2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100,0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100</w:t>
            </w:r>
          </w:p>
        </w:tc>
        <w:tc>
          <w:tcPr>
            <w:tcW w:type="dxa" w:w="6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100</w:t>
            </w:r>
          </w:p>
        </w:tc>
        <w:tc>
          <w:tcPr>
            <w:tcW w:type="dxa" w:w="17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Возрастающий</w:t>
            </w:r>
          </w:p>
        </w:tc>
        <w:tc>
          <w:tcPr>
            <w:tcW w:type="dxa" w:w="14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00000">
            <w:pPr>
              <w:pStyle w:val="Style_1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</w:tbl>
    <w:p w14:paraId="88000000">
      <w:pPr>
        <w:sectPr>
          <w:type w:val="nextPage"/>
          <w:pgSz w:h="11906" w:orient="landscape" w:w="16838"/>
          <w:pgMar w:bottom="1134" w:footer="0" w:gutter="0" w:header="0" w:left="1134" w:right="1134" w:top="1134"/>
          <w:pgNumType w:fmt="decimal"/>
          <w:titlePg/>
        </w:sectPr>
      </w:pPr>
    </w:p>
    <w:p w14:paraId="89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8A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0"/>
        <w:gridCol w:w="3644"/>
        <w:gridCol w:w="1798"/>
        <w:gridCol w:w="858"/>
        <w:gridCol w:w="596"/>
        <w:gridCol w:w="593"/>
        <w:gridCol w:w="596"/>
        <w:gridCol w:w="594"/>
        <w:gridCol w:w="595"/>
        <w:gridCol w:w="594"/>
        <w:gridCol w:w="593"/>
        <w:gridCol w:w="596"/>
        <w:gridCol w:w="593"/>
        <w:gridCol w:w="641"/>
        <w:gridCol w:w="1529"/>
      </w:tblGrid>
      <w:tr>
        <w:tc>
          <w:tcPr>
            <w:tcW w:type="dxa" w:w="7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№</w:t>
            </w:r>
          </w:p>
          <w:p w14:paraId="8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2"/>
              </w:rPr>
              <w:t>п/п</w:t>
            </w:r>
          </w:p>
        </w:tc>
        <w:tc>
          <w:tcPr>
            <w:tcW w:type="dxa" w:w="36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7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84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5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7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02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03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04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05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07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08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09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11</w:t>
            </w:r>
          </w:p>
        </w:tc>
        <w:tc>
          <w:tcPr>
            <w:tcW w:type="dxa" w:w="15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3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11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12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14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15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</w:t>
            </w:r>
          </w:p>
        </w:tc>
        <w:tc>
          <w:tcPr>
            <w:tcW w:type="dxa" w:w="138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1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</w:t>
            </w:r>
          </w:p>
        </w:tc>
        <w:tc>
          <w:tcPr>
            <w:tcW w:type="dxa" w:w="3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Количество квадратных метров приобретенного жилья</w:t>
            </w:r>
          </w:p>
        </w:tc>
        <w:tc>
          <w:tcPr>
            <w:tcW w:type="dxa" w:w="1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864,6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1.2</w:t>
            </w:r>
          </w:p>
        </w:tc>
        <w:tc>
          <w:tcPr>
            <w:tcW w:type="dxa" w:w="3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Количество граждан, переселенных из жилищного фонда, признанного непригодным для проживания аварийным и подлежащим сносу</w:t>
            </w:r>
          </w:p>
        </w:tc>
        <w:tc>
          <w:tcPr>
            <w:tcW w:type="dxa" w:w="1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человек</w:t>
            </w:r>
          </w:p>
        </w:tc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55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1.3</w:t>
            </w:r>
          </w:p>
        </w:tc>
        <w:tc>
          <w:tcPr>
            <w:tcW w:type="dxa" w:w="3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Площадь расселенного жилищного фонда, признанного непригодным для проживания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720,5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1.4</w:t>
            </w:r>
          </w:p>
        </w:tc>
        <w:tc>
          <w:tcPr>
            <w:tcW w:type="dxa" w:w="3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Площадь расселенного жилищного фонда, признанного непригодным для проживания в домах признанных аварийными и подлежащими сносу путем выплаты возмещения </w:t>
            </w:r>
            <w:r>
              <w:rPr>
                <w:rFonts w:ascii="Times New Roman" w:hAnsi="Times New Roman"/>
                <w:spacing w:val="0"/>
                <w:sz w:val="22"/>
              </w:rPr>
              <w:br/>
            </w:r>
            <w:r>
              <w:rPr>
                <w:rFonts w:ascii="Times New Roman" w:hAnsi="Times New Roman"/>
                <w:spacing w:val="0"/>
                <w:sz w:val="22"/>
              </w:rPr>
              <w:t>(выкупной стоимости)</w:t>
            </w:r>
          </w:p>
        </w:tc>
        <w:tc>
          <w:tcPr>
            <w:tcW w:type="dxa" w:w="1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38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2.1</w:t>
            </w:r>
          </w:p>
        </w:tc>
        <w:tc>
          <w:tcPr>
            <w:tcW w:type="dxa" w:w="36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Внесение сведений в АИС ППК «ФРТ»</w:t>
            </w:r>
          </w:p>
        </w:tc>
        <w:tc>
          <w:tcPr>
            <w:tcW w:type="dxa" w:w="1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процент</w:t>
            </w:r>
          </w:p>
        </w:tc>
        <w:tc>
          <w:tcPr>
            <w:tcW w:type="dxa" w:w="8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1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</w:tr>
    </w:tbl>
    <w:p w14:paraId="FA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Внесение сведений в АИС ППК «ФРТ» осуществляется в течение 14 дней от даты издания постановления администрации города Магнитогорска о признании дома аварийным и подлежащим сносу.</w:t>
      </w:r>
    </w:p>
    <w:p w14:paraId="FB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FC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FD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9"/>
        <w:gridCol w:w="2194"/>
        <w:gridCol w:w="1615"/>
        <w:gridCol w:w="2150"/>
        <w:gridCol w:w="734"/>
        <w:gridCol w:w="703"/>
        <w:gridCol w:w="620"/>
        <w:gridCol w:w="700"/>
        <w:gridCol w:w="693"/>
        <w:gridCol w:w="621"/>
        <w:gridCol w:w="1725"/>
        <w:gridCol w:w="2185"/>
      </w:tblGrid>
      <w:tr>
        <w:tc>
          <w:tcPr>
            <w:tcW w:type="dxa" w:w="6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spacing w:val="0"/>
                <w:sz w:val="22"/>
              </w:rPr>
              <w:t>п/п</w:t>
            </w:r>
          </w:p>
        </w:tc>
        <w:tc>
          <w:tcPr>
            <w:tcW w:type="dxa" w:w="21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6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21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7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7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Характеристика мероприятия (результата)</w:t>
            </w:r>
          </w:p>
        </w:tc>
        <w:tc>
          <w:tcPr>
            <w:tcW w:type="dxa" w:w="21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2026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2027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2028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2030</w:t>
            </w:r>
          </w:p>
        </w:tc>
        <w:tc>
          <w:tcPr>
            <w:tcW w:type="dxa" w:w="17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2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6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2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11</w:t>
            </w:r>
          </w:p>
        </w:tc>
        <w:tc>
          <w:tcPr>
            <w:tcW w:type="dxa" w:w="2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12</w:t>
            </w:r>
          </w:p>
        </w:tc>
      </w:tr>
      <w:tr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</w:t>
            </w:r>
          </w:p>
        </w:tc>
        <w:tc>
          <w:tcPr>
            <w:tcW w:type="dxa" w:w="1394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1 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</w:t>
            </w:r>
          </w:p>
        </w:tc>
        <w:tc>
          <w:tcPr>
            <w:tcW w:type="dxa" w:w="2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Приобретение (строительство) жилых помещений</w:t>
            </w:r>
          </w:p>
        </w:tc>
        <w:tc>
          <w:tcPr>
            <w:tcW w:type="dxa" w:w="16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2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3 353,90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864,6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Приобретено (построено) жилых помещений</w:t>
            </w:r>
          </w:p>
        </w:tc>
        <w:tc>
          <w:tcPr>
            <w:tcW w:type="dxa" w:w="2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1.2</w:t>
            </w:r>
          </w:p>
        </w:tc>
        <w:tc>
          <w:tcPr>
            <w:tcW w:type="dxa" w:w="2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Выплата возмещения (выкупной стоимости)</w:t>
            </w:r>
          </w:p>
        </w:tc>
        <w:tc>
          <w:tcPr>
            <w:tcW w:type="dxa" w:w="16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тыс. руб</w:t>
            </w:r>
          </w:p>
        </w:tc>
        <w:tc>
          <w:tcPr>
            <w:tcW w:type="dxa" w:w="2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3 445,54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Расселено жилых помещений</w:t>
            </w:r>
          </w:p>
        </w:tc>
        <w:tc>
          <w:tcPr>
            <w:tcW w:type="dxa" w:w="2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1.3</w:t>
            </w:r>
          </w:p>
        </w:tc>
        <w:tc>
          <w:tcPr>
            <w:tcW w:type="dxa" w:w="2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Расселение жилищного фонда, в домах признанных аварийными и подлежащими сносу</w:t>
            </w:r>
          </w:p>
        </w:tc>
        <w:tc>
          <w:tcPr>
            <w:tcW w:type="dxa" w:w="16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м.</w:t>
            </w:r>
          </w:p>
        </w:tc>
        <w:tc>
          <w:tcPr>
            <w:tcW w:type="dxa" w:w="2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1718,99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720,5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Расселено жилых помещений</w:t>
            </w:r>
          </w:p>
        </w:tc>
        <w:tc>
          <w:tcPr>
            <w:tcW w:type="dxa" w:w="2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394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6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2.1</w:t>
            </w:r>
          </w:p>
        </w:tc>
        <w:tc>
          <w:tcPr>
            <w:tcW w:type="dxa" w:w="2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Внесение сведений о расселении жилого фонда, признанного аварийным и подлежащим сносу </w:t>
            </w:r>
          </w:p>
        </w:tc>
        <w:tc>
          <w:tcPr>
            <w:tcW w:type="dxa" w:w="16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процент</w:t>
            </w:r>
          </w:p>
        </w:tc>
        <w:tc>
          <w:tcPr>
            <w:tcW w:type="dxa" w:w="21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Внесено сведений</w:t>
            </w:r>
          </w:p>
        </w:tc>
        <w:tc>
          <w:tcPr>
            <w:tcW w:type="dxa" w:w="2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Доля аварийного жилого фонда, внесенного в цифровой реестр аварийного жилья</w:t>
            </w:r>
          </w:p>
          <w:p w14:paraId="4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</w:tbl>
    <w:p w14:paraId="4C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4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проекта</w:t>
      </w:r>
    </w:p>
    <w:p w14:paraId="4E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95"/>
        <w:gridCol w:w="1340"/>
        <w:gridCol w:w="1327"/>
        <w:gridCol w:w="1162"/>
        <w:gridCol w:w="1310"/>
        <w:gridCol w:w="1418"/>
        <w:gridCol w:w="1167"/>
        <w:gridCol w:w="1743"/>
      </w:tblGrid>
      <w:tr>
        <w:tc>
          <w:tcPr>
            <w:tcW w:type="dxa" w:w="50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946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0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2025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2026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2027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2028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2029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2030</w:t>
            </w:r>
          </w:p>
        </w:tc>
        <w:tc>
          <w:tcPr>
            <w:tcW w:type="dxa" w:w="1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</w:t>
            </w:r>
          </w:p>
        </w:tc>
        <w:tc>
          <w:tcPr>
            <w:tcW w:type="dxa" w:w="1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9</w:t>
            </w:r>
          </w:p>
        </w:tc>
      </w:tr>
      <w:t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Всего на реализацию проекта, в т.ч.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20 324,73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45 635,01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69 173,27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11 490,00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18 810,00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26 850,00</w:t>
            </w:r>
          </w:p>
        </w:tc>
        <w:tc>
          <w:tcPr>
            <w:tcW w:type="dxa" w:w="1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192 283,01</w:t>
            </w:r>
          </w:p>
        </w:tc>
      </w:tr>
      <w:t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Областной бюджет.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20 304,41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45 503,42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69 003,70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134 811,53</w:t>
            </w:r>
          </w:p>
        </w:tc>
      </w:tr>
      <w:t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Местный бюджет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20,32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131,59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169,57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11 490,00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18 810,00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26 850,00</w:t>
            </w:r>
          </w:p>
        </w:tc>
        <w:tc>
          <w:tcPr>
            <w:tcW w:type="dxa" w:w="1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57 471,48</w:t>
            </w:r>
          </w:p>
        </w:tc>
      </w:tr>
      <w:tr>
        <w:tc>
          <w:tcPr>
            <w:tcW w:type="dxa" w:w="5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Иные источники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7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88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89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8A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 План по реализации проекта</w:t>
      </w:r>
    </w:p>
    <w:p w14:paraId="8B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2025 году</w:t>
      </w:r>
    </w:p>
    <w:p w14:paraId="8C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031"/>
        <w:gridCol w:w="2669"/>
        <w:gridCol w:w="2739"/>
        <w:gridCol w:w="1793"/>
        <w:gridCol w:w="1360"/>
        <w:gridCol w:w="2352"/>
        <w:gridCol w:w="2625"/>
      </w:tblGrid>
      <w:tr>
        <w:tc>
          <w:tcPr>
            <w:tcW w:type="dxa" w:w="10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№</w:t>
            </w:r>
          </w:p>
          <w:p w14:paraId="8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п/п</w:t>
            </w:r>
          </w:p>
        </w:tc>
        <w:tc>
          <w:tcPr>
            <w:tcW w:type="dxa" w:w="2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2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Тип мероприятия </w:t>
            </w:r>
          </w:p>
        </w:tc>
        <w:tc>
          <w:tcPr>
            <w:tcW w:type="dxa" w:w="315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Срок реализации</w:t>
            </w:r>
          </w:p>
        </w:tc>
        <w:tc>
          <w:tcPr>
            <w:tcW w:type="dxa" w:w="23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Адрес объекта (только для объектов капитального строительства)*</w:t>
            </w:r>
          </w:p>
        </w:tc>
        <w:tc>
          <w:tcPr>
            <w:tcW w:type="dxa" w:w="26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10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начало</w:t>
            </w: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конец</w:t>
            </w:r>
          </w:p>
        </w:tc>
        <w:tc>
          <w:tcPr>
            <w:tcW w:type="dxa" w:w="23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6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2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</w:tr>
      <w:tr>
        <w:trPr>
          <w:trHeight w:hRule="atLeast" w:val="478"/>
        </w:trP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</w:t>
            </w:r>
          </w:p>
        </w:tc>
        <w:tc>
          <w:tcPr>
            <w:tcW w:type="dxa" w:w="135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1.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Приобретение (строительство) жилых помещений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1.1.К.1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Заключение муниципального контракта на приобретение (строительство) жилых помещений 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01.01.2025</w:t>
            </w: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31.12.2025</w:t>
            </w:r>
          </w:p>
        </w:tc>
        <w:tc>
          <w:tcPr>
            <w:tcW w:type="dxa" w:w="2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1.1.К.2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Регистрация права муниципальной собственности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01.01.2025</w:t>
            </w: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31.12.2026</w:t>
            </w:r>
          </w:p>
        </w:tc>
        <w:tc>
          <w:tcPr>
            <w:tcW w:type="dxa" w:w="2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Выписка из ЕГРН</w:t>
            </w:r>
          </w:p>
        </w:tc>
      </w:tr>
      <w:t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1.2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Выплата возмещения (выкупной стоимости)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511"/>
        </w:trP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1.2.К.1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Выплата осуществлена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01.01.2025</w:t>
            </w: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31.12.2025</w:t>
            </w:r>
          </w:p>
        </w:tc>
        <w:tc>
          <w:tcPr>
            <w:tcW w:type="dxa" w:w="2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Платежное поручение</w:t>
            </w:r>
          </w:p>
        </w:tc>
      </w:tr>
      <w:t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1.2.К.2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Регистрация права муниципальной собственности на изымаемое жилое помещение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01.01.2025</w:t>
            </w: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31.12.2025</w:t>
            </w:r>
          </w:p>
        </w:tc>
        <w:tc>
          <w:tcPr>
            <w:tcW w:type="dxa" w:w="2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Выписка из ЕГРН</w:t>
            </w:r>
          </w:p>
        </w:tc>
      </w:tr>
      <w:t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1.3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Расселение жилищного фонда, в домах признанных аварийными и подлежащими сносу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1.3.К.1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Объект недвижимого имущества предоставлен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01.01.2025</w:t>
            </w: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31.12.2026</w:t>
            </w:r>
          </w:p>
        </w:tc>
        <w:tc>
          <w:tcPr>
            <w:tcW w:type="dxa" w:w="2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акт приема-передачи жилого помещения/решение суда/выписка из ЕГРН </w:t>
            </w:r>
          </w:p>
        </w:tc>
      </w:tr>
      <w:t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</w:t>
            </w:r>
          </w:p>
        </w:tc>
        <w:tc>
          <w:tcPr>
            <w:tcW w:type="dxa" w:w="135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Внесение сведений о расселении жилого фонда, признанного аварийным и подлежащим сносу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Style w:val="Style_3_ch"/>
                <w:rFonts w:ascii="Times New Roman" w:hAnsi="Times New Roman"/>
                <w:spacing w:val="0"/>
                <w:sz w:val="22"/>
                <w:vertAlign w:val="superscript"/>
              </w:rPr>
              <w:footnoteReference w:id="1"/>
            </w: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2.1.К.1</w:t>
            </w:r>
          </w:p>
        </w:tc>
        <w:tc>
          <w:tcPr>
            <w:tcW w:type="dxa" w:w="2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Внесены сведения о расселении дома</w:t>
            </w:r>
          </w:p>
        </w:tc>
        <w:tc>
          <w:tcPr>
            <w:tcW w:type="dxa" w:w="2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01.01.2025</w:t>
            </w:r>
          </w:p>
        </w:tc>
        <w:tc>
          <w:tcPr>
            <w:tcW w:type="dxa" w:w="13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31.12.2026</w:t>
            </w:r>
          </w:p>
        </w:tc>
        <w:tc>
          <w:tcPr>
            <w:tcW w:type="dxa" w:w="23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</w:t>
            </w:r>
          </w:p>
        </w:tc>
        <w:tc>
          <w:tcPr>
            <w:tcW w:type="dxa" w:w="2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Выгрузка из АИС ППК «ФРТ»</w:t>
            </w:r>
          </w:p>
        </w:tc>
      </w:tr>
    </w:tbl>
    <w:p w14:paraId="E701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* Перечень объектов будет указан после заключения контрактов </w:t>
      </w:r>
    </w:p>
    <w:p w14:paraId="E8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E901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EA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EB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EC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E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EE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EF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0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1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2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3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4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F5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6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7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8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9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A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B01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FC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F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Регионального проекта, реализуемого вне национального проекта</w:t>
      </w:r>
    </w:p>
    <w:p w14:paraId="FE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«Оказание молодым семьям государственной поддержки для улучшения жилищных условий»</w:t>
      </w:r>
    </w:p>
    <w:p w14:paraId="FF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00020000">
      <w:pPr>
        <w:pStyle w:val="Style_1"/>
        <w:widowControl w:val="0"/>
        <w:numPr>
          <w:ilvl w:val="0"/>
          <w:numId w:val="2"/>
        </w:numPr>
        <w:spacing w:after="0" w:before="0" w:line="240" w:lineRule="auto"/>
        <w:ind w:hanging="360" w:left="72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01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2"/>
        <w:gridCol w:w="899"/>
        <w:gridCol w:w="3421"/>
        <w:gridCol w:w="2340"/>
        <w:gridCol w:w="1259"/>
        <w:gridCol w:w="1619"/>
      </w:tblGrid>
      <w:tr>
        <w:tc>
          <w:tcPr>
            <w:tcW w:type="dxa" w:w="5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Краткое наименование проекта</w:t>
            </w:r>
          </w:p>
        </w:tc>
        <w:tc>
          <w:tcPr>
            <w:tcW w:type="dxa" w:w="432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«Оказание молодым семьям государственной поддержки для улучшения жилищных условий»</w:t>
            </w:r>
          </w:p>
        </w:tc>
        <w:tc>
          <w:tcPr>
            <w:tcW w:type="dxa" w:w="2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Срок реализации проекта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2025</w:t>
            </w:r>
          </w:p>
        </w:tc>
        <w:tc>
          <w:tcPr>
            <w:tcW w:type="dxa" w:w="1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2030</w:t>
            </w:r>
          </w:p>
        </w:tc>
      </w:tr>
      <w:tr>
        <w:trPr>
          <w:trHeight w:hRule="atLeast" w:val="555"/>
        </w:trPr>
        <w:tc>
          <w:tcPr>
            <w:tcW w:type="dxa" w:w="5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Куратор проекта</w:t>
            </w:r>
          </w:p>
        </w:tc>
        <w:tc>
          <w:tcPr>
            <w:tcW w:type="dxa" w:w="95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Заместитель главы города, курирующий сферу имущественных вопросов</w:t>
            </w:r>
          </w:p>
        </w:tc>
      </w:tr>
      <w:tr>
        <w:trPr>
          <w:trHeight w:hRule="atLeast" w:val="775"/>
        </w:trPr>
        <w:tc>
          <w:tcPr>
            <w:tcW w:type="dxa" w:w="5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Ответственный исполнитель проекта</w:t>
            </w:r>
          </w:p>
        </w:tc>
        <w:tc>
          <w:tcPr>
            <w:tcW w:type="dxa" w:w="9538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Комитет по управлению имуществом и земельными отношениями администрации города Магнитогорска</w:t>
            </w:r>
          </w:p>
        </w:tc>
      </w:tr>
      <w:tr>
        <w:trPr>
          <w:trHeight w:hRule="atLeast" w:val="1218"/>
        </w:trPr>
        <w:tc>
          <w:tcPr>
            <w:tcW w:type="dxa" w:w="5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</w:t>
            </w:r>
          </w:p>
        </w:tc>
        <w:tc>
          <w:tcPr>
            <w:tcW w:type="dxa" w:w="3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Государственная программа Челябинской области</w:t>
            </w:r>
          </w:p>
        </w:tc>
        <w:tc>
          <w:tcPr>
            <w:tcW w:type="dxa" w:w="521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Обеспечение доступным и комфортным жильем граждан Российской Федерации в Челябинской области"</w:t>
            </w:r>
          </w:p>
        </w:tc>
      </w:tr>
    </w:tbl>
    <w:p w14:paraId="0F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10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11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12020000">
      <w:pPr>
        <w:pStyle w:val="Style_1"/>
        <w:widowControl w:val="0"/>
        <w:numPr>
          <w:ilvl w:val="0"/>
          <w:numId w:val="2"/>
        </w:numPr>
        <w:spacing w:after="0" w:before="0" w:line="240" w:lineRule="auto"/>
        <w:ind w:hanging="360" w:left="72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Показатели проекта</w:t>
      </w:r>
    </w:p>
    <w:p w14:paraId="13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27"/>
        <w:gridCol w:w="2177"/>
        <w:gridCol w:w="1268"/>
        <w:gridCol w:w="1472"/>
        <w:gridCol w:w="2058"/>
        <w:gridCol w:w="589"/>
        <w:gridCol w:w="590"/>
        <w:gridCol w:w="588"/>
        <w:gridCol w:w="589"/>
        <w:gridCol w:w="590"/>
        <w:gridCol w:w="735"/>
        <w:gridCol w:w="1764"/>
        <w:gridCol w:w="1618"/>
      </w:tblGrid>
      <w:tr>
        <w:tc>
          <w:tcPr>
            <w:tcW w:type="dxa" w:w="5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spacing w:val="0"/>
                <w:sz w:val="22"/>
              </w:rPr>
              <w:t>п/п</w:t>
            </w:r>
          </w:p>
        </w:tc>
        <w:tc>
          <w:tcPr>
            <w:tcW w:type="dxa" w:w="21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2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Уровень показателя </w:t>
            </w:r>
          </w:p>
        </w:tc>
        <w:tc>
          <w:tcPr>
            <w:tcW w:type="dxa" w:w="14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Единица измерения (по ОКЕИ)</w:t>
            </w:r>
          </w:p>
        </w:tc>
        <w:tc>
          <w:tcPr>
            <w:tcW w:type="dxa" w:w="20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8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7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Признак возрастания/  убывания</w:t>
            </w:r>
          </w:p>
        </w:tc>
        <w:tc>
          <w:tcPr>
            <w:tcW w:type="dxa" w:w="16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Нарастающий итог</w:t>
            </w:r>
          </w:p>
        </w:tc>
      </w:tr>
      <w:tr>
        <w:tc>
          <w:tcPr>
            <w:tcW w:type="dxa" w:w="5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2025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2026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2027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2029</w:t>
            </w:r>
          </w:p>
        </w:tc>
        <w:tc>
          <w:tcPr>
            <w:tcW w:type="dxa" w:w="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2030</w:t>
            </w:r>
          </w:p>
        </w:tc>
        <w:tc>
          <w:tcPr>
            <w:tcW w:type="dxa" w:w="17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1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9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11</w:t>
            </w:r>
          </w:p>
        </w:tc>
        <w:tc>
          <w:tcPr>
            <w:tcW w:type="dxa" w:w="1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12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13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</w:t>
            </w:r>
          </w:p>
        </w:tc>
        <w:tc>
          <w:tcPr>
            <w:tcW w:type="dxa" w:w="14038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МП</w:t>
            </w:r>
          </w:p>
        </w:tc>
        <w:tc>
          <w:tcPr>
            <w:tcW w:type="dxa" w:w="1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семья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51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50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50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50</w:t>
            </w:r>
          </w:p>
        </w:tc>
        <w:tc>
          <w:tcPr>
            <w:tcW w:type="dxa" w:w="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50</w:t>
            </w:r>
          </w:p>
        </w:tc>
        <w:tc>
          <w:tcPr>
            <w:tcW w:type="dxa" w:w="1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Убывающий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нет</w:t>
            </w:r>
          </w:p>
        </w:tc>
      </w:tr>
      <w:tr>
        <w:tc>
          <w:tcPr>
            <w:tcW w:type="dxa" w:w="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2.2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  <w:tc>
          <w:tcPr>
            <w:tcW w:type="dxa" w:w="1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ГП, ВДЛ</w:t>
            </w:r>
          </w:p>
        </w:tc>
        <w:tc>
          <w:tcPr>
            <w:tcW w:type="dxa" w:w="14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семья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25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18</w:t>
            </w:r>
          </w:p>
        </w:tc>
        <w:tc>
          <w:tcPr>
            <w:tcW w:type="dxa" w:w="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18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18</w:t>
            </w:r>
          </w:p>
        </w:tc>
        <w:tc>
          <w:tcPr>
            <w:tcW w:type="dxa" w:w="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18</w:t>
            </w:r>
          </w:p>
        </w:tc>
        <w:tc>
          <w:tcPr>
            <w:tcW w:type="dxa" w:w="1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Возрастающий</w:t>
            </w:r>
          </w:p>
        </w:tc>
        <w:tc>
          <w:tcPr>
            <w:tcW w:type="dxa" w:w="16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Да</w:t>
            </w:r>
          </w:p>
        </w:tc>
      </w:tr>
    </w:tbl>
    <w:p w14:paraId="4B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4C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4D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4"/>
        <w:gridCol w:w="3545"/>
        <w:gridCol w:w="1868"/>
        <w:gridCol w:w="749"/>
        <w:gridCol w:w="562"/>
        <w:gridCol w:w="560"/>
        <w:gridCol w:w="562"/>
        <w:gridCol w:w="558"/>
        <w:gridCol w:w="561"/>
        <w:gridCol w:w="459"/>
        <w:gridCol w:w="596"/>
        <w:gridCol w:w="599"/>
        <w:gridCol w:w="597"/>
        <w:gridCol w:w="602"/>
        <w:gridCol w:w="2008"/>
      </w:tblGrid>
      <w:tr>
        <w:tc>
          <w:tcPr>
            <w:tcW w:type="dxa" w:w="7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№</w:t>
            </w:r>
          </w:p>
          <w:p w14:paraId="4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 </w:t>
            </w:r>
            <w:r>
              <w:rPr>
                <w:rFonts w:ascii="Times New Roman" w:hAnsi="Times New Roman"/>
                <w:spacing w:val="0"/>
                <w:sz w:val="22"/>
              </w:rPr>
              <w:t>п/п</w:t>
            </w:r>
          </w:p>
        </w:tc>
        <w:tc>
          <w:tcPr>
            <w:tcW w:type="dxa" w:w="35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4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20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7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02</w:t>
            </w:r>
          </w:p>
        </w:tc>
        <w:tc>
          <w:tcPr>
            <w:tcW w:type="dxa" w:w="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03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04</w:t>
            </w:r>
          </w:p>
        </w:tc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05</w:t>
            </w:r>
          </w:p>
        </w:tc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06</w:t>
            </w:r>
          </w:p>
        </w:tc>
        <w:tc>
          <w:tcPr>
            <w:tcW w:type="dxa" w:w="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08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09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11</w:t>
            </w:r>
          </w:p>
        </w:tc>
        <w:tc>
          <w:tcPr>
            <w:tcW w:type="dxa" w:w="20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3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</w:t>
            </w:r>
          </w:p>
        </w:tc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9</w:t>
            </w:r>
          </w:p>
        </w:tc>
        <w:tc>
          <w:tcPr>
            <w:tcW w:type="dxa" w:w="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11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12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13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14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15</w:t>
            </w:r>
          </w:p>
        </w:tc>
      </w:tr>
      <w:tr>
        <w:tc>
          <w:tcPr>
            <w:tcW w:type="dxa" w:w="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</w:t>
            </w:r>
          </w:p>
        </w:tc>
        <w:tc>
          <w:tcPr>
            <w:tcW w:type="dxa" w:w="13826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</w:t>
            </w:r>
          </w:p>
        </w:tc>
        <w:tc>
          <w:tcPr>
            <w:tcW w:type="dxa" w:w="3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Количество молодых семей участников регионального проекта, состоящих в очереди на улучшение жилищных условий</w:t>
            </w:r>
          </w:p>
        </w:tc>
        <w:tc>
          <w:tcPr>
            <w:tcW w:type="dxa" w:w="1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семья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50</w:t>
            </w:r>
          </w:p>
        </w:tc>
      </w:tr>
      <w:tr>
        <w:tc>
          <w:tcPr>
            <w:tcW w:type="dxa" w:w="7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1.2</w:t>
            </w:r>
          </w:p>
        </w:tc>
        <w:tc>
          <w:tcPr>
            <w:tcW w:type="dxa" w:w="3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  <w:tc>
          <w:tcPr>
            <w:tcW w:type="dxa" w:w="1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семья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</w:t>
            </w:r>
          </w:p>
        </w:tc>
      </w:tr>
    </w:tbl>
    <w:p w14:paraId="8E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8F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90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8"/>
        <w:gridCol w:w="2831"/>
        <w:gridCol w:w="1348"/>
        <w:gridCol w:w="1936"/>
        <w:gridCol w:w="565"/>
        <w:gridCol w:w="612"/>
        <w:gridCol w:w="611"/>
        <w:gridCol w:w="612"/>
        <w:gridCol w:w="612"/>
        <w:gridCol w:w="601"/>
        <w:gridCol w:w="2376"/>
        <w:gridCol w:w="1883"/>
      </w:tblGrid>
      <w:tr>
        <w:tc>
          <w:tcPr>
            <w:tcW w:type="dxa" w:w="5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spacing w:val="0"/>
                <w:sz w:val="22"/>
              </w:rPr>
              <w:t>п/п</w:t>
            </w:r>
          </w:p>
        </w:tc>
        <w:tc>
          <w:tcPr>
            <w:tcW w:type="dxa" w:w="28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3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19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6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23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Характеристика мероприятия (результата)</w:t>
            </w:r>
          </w:p>
        </w:tc>
        <w:tc>
          <w:tcPr>
            <w:tcW w:type="dxa" w:w="18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5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2025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2026</w:t>
            </w:r>
          </w:p>
        </w:tc>
        <w:tc>
          <w:tcPr>
            <w:tcW w:type="dxa" w:w="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2027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2028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2029</w:t>
            </w:r>
          </w:p>
        </w:tc>
        <w:tc>
          <w:tcPr>
            <w:tcW w:type="dxa" w:w="6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2030</w:t>
            </w:r>
          </w:p>
        </w:tc>
        <w:tc>
          <w:tcPr>
            <w:tcW w:type="dxa" w:w="23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2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9</w:t>
            </w:r>
          </w:p>
        </w:tc>
        <w:tc>
          <w:tcPr>
            <w:tcW w:type="dxa" w:w="6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2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11</w:t>
            </w:r>
          </w:p>
        </w:tc>
        <w:tc>
          <w:tcPr>
            <w:tcW w:type="dxa" w:w="1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12</w:t>
            </w:r>
          </w:p>
        </w:tc>
      </w:tr>
      <w:tr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</w:t>
            </w:r>
          </w:p>
        </w:tc>
        <w:tc>
          <w:tcPr>
            <w:tcW w:type="dxa" w:w="1398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1. 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</w:t>
            </w:r>
          </w:p>
        </w:tc>
        <w:tc>
          <w:tcPr>
            <w:tcW w:type="dxa" w:w="2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Обеспечение жильем молодых семей</w:t>
            </w:r>
          </w:p>
        </w:tc>
        <w:tc>
          <w:tcPr>
            <w:tcW w:type="dxa" w:w="1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семья</w:t>
            </w:r>
          </w:p>
          <w:p w14:paraId="A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25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18</w:t>
            </w:r>
          </w:p>
        </w:tc>
        <w:tc>
          <w:tcPr>
            <w:tcW w:type="dxa" w:w="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18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18</w:t>
            </w:r>
          </w:p>
        </w:tc>
        <w:tc>
          <w:tcPr>
            <w:tcW w:type="dxa" w:w="6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18</w:t>
            </w:r>
          </w:p>
        </w:tc>
        <w:tc>
          <w:tcPr>
            <w:tcW w:type="dxa" w:w="6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18</w:t>
            </w:r>
          </w:p>
        </w:tc>
        <w:tc>
          <w:tcPr>
            <w:tcW w:type="dxa" w:w="2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Уменьшение количества молодых семей, нуждающихся в улучшении жилищных условий</w:t>
            </w:r>
          </w:p>
        </w:tc>
        <w:tc>
          <w:tcPr>
            <w:tcW w:type="dxa" w:w="1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Количество молодых семей, улучшивших жилищные условия</w:t>
            </w:r>
          </w:p>
        </w:tc>
      </w:tr>
    </w:tbl>
    <w:p w14:paraId="B9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BA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регионального проекта</w:t>
      </w:r>
    </w:p>
    <w:p w14:paraId="BB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651"/>
        <w:gridCol w:w="1286"/>
        <w:gridCol w:w="1593"/>
        <w:gridCol w:w="1259"/>
        <w:gridCol w:w="1278"/>
        <w:gridCol w:w="1275"/>
        <w:gridCol w:w="1560"/>
        <w:gridCol w:w="2686"/>
      </w:tblGrid>
      <w:tr>
        <w:trPr>
          <w:trHeight w:hRule="atLeast" w:val="256"/>
        </w:trPr>
        <w:tc>
          <w:tcPr>
            <w:tcW w:type="dxa" w:w="3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65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2025</w:t>
            </w: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2026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2030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3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</w:t>
            </w:r>
          </w:p>
        </w:tc>
      </w:tr>
      <w:tr>
        <w:tc>
          <w:tcPr>
            <w:tcW w:type="dxa" w:w="3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Всего на реализацию проекта, в т. ч.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45 260,95</w:t>
            </w: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43 942,61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43 967,68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17 774,03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17 774,03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17 774,03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186 493,33</w:t>
            </w:r>
          </w:p>
        </w:tc>
      </w:tr>
      <w:tr>
        <w:tc>
          <w:tcPr>
            <w:tcW w:type="dxa" w:w="3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6 640,46</w:t>
            </w: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5 784,16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5 658,54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18 083,16</w:t>
            </w:r>
          </w:p>
        </w:tc>
      </w:tr>
      <w:tr>
        <w:tc>
          <w:tcPr>
            <w:tcW w:type="dxa" w:w="3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23 224,28</w:t>
            </w: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20 384,42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20 535,11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64 143,81</w:t>
            </w:r>
          </w:p>
        </w:tc>
      </w:tr>
      <w:tr>
        <w:tc>
          <w:tcPr>
            <w:tcW w:type="dxa" w:w="3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Местный бюджет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15 396,21</w:t>
            </w: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17 774,03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17 774,03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17 774,03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17 774,03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17 774,03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104 266,36</w:t>
            </w:r>
          </w:p>
        </w:tc>
      </w:tr>
      <w:tr>
        <w:tc>
          <w:tcPr>
            <w:tcW w:type="dxa" w:w="3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F602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</w:rPr>
      </w:pPr>
    </w:p>
    <w:p w14:paraId="F7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F8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F9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 План по реализации проекта</w:t>
      </w:r>
    </w:p>
    <w:p w14:paraId="FA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2025 году</w:t>
      </w:r>
    </w:p>
    <w:p w14:paraId="FB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576"/>
        <w:gridCol w:w="4244"/>
        <w:gridCol w:w="1556"/>
        <w:gridCol w:w="1559"/>
        <w:gridCol w:w="1208"/>
        <w:gridCol w:w="2293"/>
        <w:gridCol w:w="2133"/>
      </w:tblGrid>
      <w:tr>
        <w:tc>
          <w:tcPr>
            <w:tcW w:type="dxa" w:w="15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№</w:t>
            </w:r>
          </w:p>
          <w:p w14:paraId="F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п/п</w:t>
            </w:r>
          </w:p>
        </w:tc>
        <w:tc>
          <w:tcPr>
            <w:tcW w:type="dxa" w:w="42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15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Тип мероприятия </w:t>
            </w:r>
          </w:p>
        </w:tc>
        <w:tc>
          <w:tcPr>
            <w:tcW w:type="dxa" w:w="276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Срок реализации</w:t>
            </w:r>
          </w:p>
        </w:tc>
        <w:tc>
          <w:tcPr>
            <w:tcW w:type="dxa" w:w="22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Адрес объекта (только для объектов капитального строительства)</w:t>
            </w:r>
          </w:p>
        </w:tc>
        <w:tc>
          <w:tcPr>
            <w:tcW w:type="dxa" w:w="2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15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2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начало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конец</w:t>
            </w:r>
          </w:p>
        </w:tc>
        <w:tc>
          <w:tcPr>
            <w:tcW w:type="dxa" w:w="22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42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2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2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</w:tr>
      <w:tr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</w:t>
            </w:r>
          </w:p>
        </w:tc>
        <w:tc>
          <w:tcPr>
            <w:tcW w:type="dxa" w:w="1299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1. «Улучшение жилищных условий молодых семей путем предоставления свидетельств о праве на получение социальной выплаты на приобретение жилого помещения или создание объекта индивидуального жилищного строительства и социальных выплат на данные цели»</w:t>
            </w:r>
          </w:p>
        </w:tc>
      </w:tr>
      <w:tr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        </w:t>
            </w:r>
            <w:r>
              <w:rPr>
                <w:rFonts w:ascii="Times New Roman" w:hAnsi="Times New Roman"/>
                <w:spacing w:val="0"/>
                <w:sz w:val="22"/>
              </w:rPr>
              <w:t>1.1</w:t>
            </w:r>
          </w:p>
        </w:tc>
        <w:tc>
          <w:tcPr>
            <w:tcW w:type="dxa" w:w="42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Обеспечение жильем молодых семей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Социальное обеспечение и иные выплаты населению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</w:t>
            </w:r>
          </w:p>
        </w:tc>
        <w:tc>
          <w:tcPr>
            <w:tcW w:type="dxa" w:w="2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соглашение о предоставлении субсидии из бюджета субъекта Российской</w:t>
            </w:r>
          </w:p>
        </w:tc>
      </w:tr>
      <w:tr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       </w:t>
            </w:r>
            <w:r>
              <w:rPr>
                <w:rFonts w:ascii="Times New Roman" w:hAnsi="Times New Roman"/>
                <w:spacing w:val="0"/>
                <w:sz w:val="22"/>
              </w:rPr>
              <w:t>1.1.К.1</w:t>
            </w:r>
          </w:p>
        </w:tc>
        <w:tc>
          <w:tcPr>
            <w:tcW w:type="dxa" w:w="42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Документ, устанавливающий условия осуществления выплат (в том числе размер и получателей),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01.01.2025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31.12.2025</w:t>
            </w:r>
          </w:p>
        </w:tc>
        <w:tc>
          <w:tcPr>
            <w:tcW w:type="dxa" w:w="2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</w:t>
            </w:r>
          </w:p>
        </w:tc>
        <w:tc>
          <w:tcPr>
            <w:tcW w:type="dxa" w:w="2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соглашение о предоставлении субсидии из бюджета субъекта Российской Федерации местному бюджету</w:t>
            </w:r>
          </w:p>
        </w:tc>
      </w:tr>
      <w:tr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1.1.К.2</w:t>
            </w:r>
          </w:p>
        </w:tc>
        <w:tc>
          <w:tcPr>
            <w:tcW w:type="dxa" w:w="42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Оформление и выдача свидетельств молодым семьям - претендентам на получение социальных выплат в соответствующем году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01.03.2025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01.10.2025</w:t>
            </w:r>
          </w:p>
        </w:tc>
        <w:tc>
          <w:tcPr>
            <w:tcW w:type="dxa" w:w="2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</w:t>
            </w:r>
          </w:p>
        </w:tc>
        <w:tc>
          <w:tcPr>
            <w:tcW w:type="dxa" w:w="2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Реестр выданных свидетельств</w:t>
            </w:r>
          </w:p>
        </w:tc>
      </w:tr>
      <w:tr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1.1.К.3</w:t>
            </w:r>
          </w:p>
        </w:tc>
        <w:tc>
          <w:tcPr>
            <w:tcW w:type="dxa" w:w="42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Выплаты осуществлены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01.03.2025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01.10.2025</w:t>
            </w:r>
          </w:p>
        </w:tc>
        <w:tc>
          <w:tcPr>
            <w:tcW w:type="dxa" w:w="22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</w:t>
            </w:r>
          </w:p>
        </w:tc>
        <w:tc>
          <w:tcPr>
            <w:tcW w:type="dxa" w:w="2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копия погашенного свидетельства, копии документов, предоставленных молодой семьей в банк</w:t>
            </w:r>
          </w:p>
        </w:tc>
      </w:tr>
    </w:tbl>
    <w:p w14:paraId="2A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B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2C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D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E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2F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0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1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2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33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Регионального проекта, реализуемого в составе национального проекта</w:t>
      </w:r>
    </w:p>
    <w:p w14:paraId="34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«Жилье» </w:t>
      </w:r>
    </w:p>
    <w:p w14:paraId="3503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36030000">
      <w:pPr>
        <w:pStyle w:val="Style_1"/>
        <w:widowControl w:val="0"/>
        <w:numPr>
          <w:ilvl w:val="0"/>
          <w:numId w:val="3"/>
        </w:numPr>
        <w:spacing w:after="0" w:before="0" w:line="240" w:lineRule="auto"/>
        <w:ind w:hanging="360" w:left="72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Основные положения</w:t>
      </w:r>
    </w:p>
    <w:p w14:paraId="3703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50"/>
        <w:gridCol w:w="832"/>
        <w:gridCol w:w="4400"/>
        <w:gridCol w:w="2167"/>
        <w:gridCol w:w="1183"/>
        <w:gridCol w:w="1638"/>
      </w:tblGrid>
      <w:tr>
        <w:tc>
          <w:tcPr>
            <w:tcW w:type="dxa" w:w="4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Краткое наименование проекта</w:t>
            </w:r>
          </w:p>
        </w:tc>
        <w:tc>
          <w:tcPr>
            <w:tcW w:type="dxa" w:w="523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type="dxa" w:w="2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Срок реализации проекта</w:t>
            </w:r>
          </w:p>
        </w:tc>
        <w:tc>
          <w:tcPr>
            <w:tcW w:type="dxa" w:w="11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2025</w:t>
            </w:r>
          </w:p>
        </w:tc>
        <w:tc>
          <w:tcPr>
            <w:tcW w:type="dxa" w:w="16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4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Куратор проекта</w:t>
            </w:r>
          </w:p>
        </w:tc>
        <w:tc>
          <w:tcPr>
            <w:tcW w:type="dxa" w:w="1022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Заместитель главы города курирующий сферу имущественных вопросов</w:t>
            </w:r>
          </w:p>
        </w:tc>
      </w:tr>
      <w:tr>
        <w:tc>
          <w:tcPr>
            <w:tcW w:type="dxa" w:w="4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Ответственный исполнитель проекта</w:t>
            </w:r>
          </w:p>
        </w:tc>
        <w:tc>
          <w:tcPr>
            <w:tcW w:type="dxa" w:w="1022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Комитет по управлению имуществом и земельными отношениями администрации города Магнитогорска </w:t>
            </w:r>
          </w:p>
        </w:tc>
      </w:tr>
      <w:tr>
        <w:tc>
          <w:tcPr>
            <w:tcW w:type="dxa" w:w="43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</w:t>
            </w:r>
          </w:p>
        </w:tc>
        <w:tc>
          <w:tcPr>
            <w:tcW w:type="dxa" w:w="4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Государственная программа Челябинской области</w:t>
            </w:r>
          </w:p>
        </w:tc>
        <w:tc>
          <w:tcPr>
            <w:tcW w:type="dxa" w:w="498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Обеспечение доступным и комфортным жильем граждан Российской Федерации в Челябинской области</w:t>
            </w:r>
          </w:p>
        </w:tc>
      </w:tr>
      <w:tr>
        <w:tc>
          <w:tcPr>
            <w:tcW w:type="dxa" w:w="43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1.1.</w:t>
            </w:r>
          </w:p>
        </w:tc>
        <w:tc>
          <w:tcPr>
            <w:tcW w:type="dxa" w:w="44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Подпрограмма Государственной программы Челябинской области (при наличии)</w:t>
            </w:r>
          </w:p>
        </w:tc>
        <w:tc>
          <w:tcPr>
            <w:tcW w:type="dxa" w:w="4988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</w:tr>
    </w:tbl>
    <w:p w14:paraId="4803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4903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4A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проекта</w:t>
      </w:r>
    </w:p>
    <w:p w14:paraId="4B03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19"/>
        <w:gridCol w:w="2336"/>
        <w:gridCol w:w="1146"/>
        <w:gridCol w:w="1111"/>
        <w:gridCol w:w="2424"/>
        <w:gridCol w:w="619"/>
        <w:gridCol w:w="619"/>
        <w:gridCol w:w="620"/>
        <w:gridCol w:w="583"/>
        <w:gridCol w:w="36"/>
        <w:gridCol w:w="557"/>
        <w:gridCol w:w="62"/>
        <w:gridCol w:w="621"/>
        <w:gridCol w:w="1967"/>
        <w:gridCol w:w="1449"/>
      </w:tblGrid>
      <w:tr>
        <w:tc>
          <w:tcPr>
            <w:tcW w:type="dxa" w:w="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1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spacing w:val="0"/>
                <w:sz w:val="22"/>
              </w:rPr>
              <w:t>п/п</w:t>
            </w:r>
          </w:p>
        </w:tc>
        <w:tc>
          <w:tcPr>
            <w:tcW w:type="dxa" w:w="2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1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Уровень показателя </w:t>
            </w:r>
          </w:p>
        </w:tc>
        <w:tc>
          <w:tcPr>
            <w:tcW w:type="dxa" w:w="1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Единица измерения (по ОКЕИ)</w:t>
            </w:r>
          </w:p>
        </w:tc>
        <w:tc>
          <w:tcPr>
            <w:tcW w:type="dxa" w:w="24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17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9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Признак возрастания/</w:t>
            </w:r>
            <w:r>
              <w:rPr>
                <w:rFonts w:ascii="Times New Roman" w:hAnsi="Times New Roman"/>
                <w:spacing w:val="0"/>
                <w:sz w:val="22"/>
              </w:rPr>
              <w:br/>
            </w:r>
            <w:r>
              <w:rPr>
                <w:rFonts w:ascii="Times New Roman" w:hAnsi="Times New Roman"/>
                <w:spacing w:val="0"/>
                <w:sz w:val="22"/>
              </w:rPr>
              <w:t>убывания</w:t>
            </w:r>
          </w:p>
        </w:tc>
        <w:tc>
          <w:tcPr>
            <w:tcW w:type="dxa" w:w="14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Нарастающий итог</w:t>
            </w:r>
          </w:p>
        </w:tc>
      </w:tr>
      <w:tr>
        <w:tc>
          <w:tcPr>
            <w:tcW w:type="dxa" w:w="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2025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2026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2027</w:t>
            </w:r>
          </w:p>
        </w:tc>
        <w:tc>
          <w:tcPr>
            <w:tcW w:type="dxa" w:w="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2028</w:t>
            </w:r>
          </w:p>
        </w:tc>
        <w:tc>
          <w:tcPr>
            <w:tcW w:type="dxa" w:w="5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2029</w:t>
            </w:r>
          </w:p>
        </w:tc>
        <w:tc>
          <w:tcPr>
            <w:tcW w:type="dxa" w:w="6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2030</w:t>
            </w:r>
          </w:p>
        </w:tc>
        <w:tc>
          <w:tcPr>
            <w:tcW w:type="dxa" w:w="19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2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</w:t>
            </w:r>
          </w:p>
        </w:tc>
        <w:tc>
          <w:tcPr>
            <w:tcW w:type="dxa" w:w="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9</w:t>
            </w:r>
          </w:p>
        </w:tc>
        <w:tc>
          <w:tcPr>
            <w:tcW w:type="dxa" w:w="5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68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11</w:t>
            </w:r>
          </w:p>
        </w:tc>
        <w:tc>
          <w:tcPr>
            <w:tcW w:type="dxa" w:w="1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12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13</w:t>
            </w:r>
          </w:p>
        </w:tc>
      </w:tr>
      <w:tr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141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Снижение объема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1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НП, ГП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2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10 979,41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Возрастающий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1.2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Доля жилого фонда, признанного аварийным и подлежащим сносу, внесенного в цифровой реестр аварийного жилья</w:t>
            </w:r>
          </w:p>
        </w:tc>
        <w:tc>
          <w:tcPr>
            <w:tcW w:type="dxa" w:w="1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НП, ГП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процент</w:t>
            </w:r>
          </w:p>
        </w:tc>
        <w:tc>
          <w:tcPr>
            <w:tcW w:type="dxa" w:w="2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</w:t>
            </w:r>
          </w:p>
        </w:tc>
        <w:tc>
          <w:tcPr>
            <w:tcW w:type="dxa" w:w="1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Возрастающий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Нет</w:t>
            </w:r>
          </w:p>
        </w:tc>
      </w:tr>
      <w:tr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</w:t>
            </w:r>
          </w:p>
        </w:tc>
        <w:tc>
          <w:tcPr>
            <w:tcW w:type="dxa" w:w="141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1 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2.1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Количество квадратных метров приобретенного жилья</w:t>
            </w:r>
          </w:p>
        </w:tc>
        <w:tc>
          <w:tcPr>
            <w:tcW w:type="dxa" w:w="1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НП, ГП, ВДЛ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2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4 726,4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Возрастающий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Нет</w:t>
            </w:r>
          </w:p>
        </w:tc>
      </w:tr>
      <w:tr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2.2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Количество граждан, переселенных из жилищного фонда, признанного аварийным и подлежащим сносу</w:t>
            </w:r>
          </w:p>
        </w:tc>
        <w:tc>
          <w:tcPr>
            <w:tcW w:type="dxa" w:w="1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НП, ГП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человек</w:t>
            </w:r>
          </w:p>
        </w:tc>
        <w:tc>
          <w:tcPr>
            <w:tcW w:type="dxa" w:w="2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793,0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Возрастающий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2.3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Площадь расселенного жилищного фонда,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НП, ГП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2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10 979,41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Возрастающий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2.4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Площадь расселенного жилищного фонда, в домах признанных аварийными и подлежащими сносу путем выплаты возмещения </w:t>
            </w:r>
            <w:r>
              <w:rPr>
                <w:rFonts w:ascii="Times New Roman" w:hAnsi="Times New Roman"/>
                <w:spacing w:val="0"/>
                <w:sz w:val="22"/>
              </w:rPr>
              <w:br/>
            </w:r>
            <w:r>
              <w:rPr>
                <w:rFonts w:ascii="Times New Roman" w:hAnsi="Times New Roman"/>
                <w:spacing w:val="0"/>
                <w:sz w:val="22"/>
              </w:rPr>
              <w:t>(выкупной стоимости)</w:t>
            </w:r>
          </w:p>
        </w:tc>
        <w:tc>
          <w:tcPr>
            <w:tcW w:type="dxa" w:w="1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НП, ГП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2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621,66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Возрастающий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Да</w:t>
            </w:r>
          </w:p>
        </w:tc>
      </w:tr>
      <w:tr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141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3.1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Внесение сведений в АИС ППК«ФРТ»</w:t>
            </w:r>
          </w:p>
        </w:tc>
        <w:tc>
          <w:tcPr>
            <w:tcW w:type="dxa" w:w="1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ГП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процент</w:t>
            </w:r>
          </w:p>
        </w:tc>
        <w:tc>
          <w:tcPr>
            <w:tcW w:type="dxa" w:w="2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61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19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Возрастающий</w:t>
            </w:r>
          </w:p>
        </w:tc>
        <w:tc>
          <w:tcPr>
            <w:tcW w:type="dxa" w:w="14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Нет</w:t>
            </w:r>
          </w:p>
        </w:tc>
      </w:tr>
    </w:tbl>
    <w:p w14:paraId="C8030000">
      <w:pPr>
        <w:sectPr>
          <w:type w:val="nextPage"/>
          <w:pgSz w:h="11906" w:orient="landscape" w:w="16838"/>
          <w:pgMar w:bottom="1134" w:footer="0" w:gutter="0" w:header="0" w:left="1134" w:right="1134" w:top="1134"/>
          <w:pgNumType w:fmt="decimal"/>
          <w:titlePg/>
        </w:sectPr>
      </w:pPr>
    </w:p>
    <w:p w14:paraId="C903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проекта в 2025 году</w:t>
      </w:r>
    </w:p>
    <w:p w14:paraId="CA03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0"/>
        <w:gridCol w:w="3514"/>
        <w:gridCol w:w="1938"/>
        <w:gridCol w:w="816"/>
        <w:gridCol w:w="596"/>
        <w:gridCol w:w="600"/>
        <w:gridCol w:w="596"/>
        <w:gridCol w:w="593"/>
        <w:gridCol w:w="599"/>
        <w:gridCol w:w="600"/>
        <w:gridCol w:w="596"/>
        <w:gridCol w:w="596"/>
        <w:gridCol w:w="596"/>
        <w:gridCol w:w="654"/>
        <w:gridCol w:w="1526"/>
      </w:tblGrid>
      <w:tr>
        <w:trPr>
          <w:trHeight w:hRule="atLeast" w:val="378"/>
        </w:trPr>
        <w:tc>
          <w:tcPr>
            <w:tcW w:type="dxa" w:w="7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№</w:t>
            </w:r>
          </w:p>
          <w:p w14:paraId="C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п/п</w:t>
            </w:r>
          </w:p>
        </w:tc>
        <w:tc>
          <w:tcPr>
            <w:tcW w:type="dxa" w:w="35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Показатели проекта</w:t>
            </w:r>
          </w:p>
        </w:tc>
        <w:tc>
          <w:tcPr>
            <w:tcW w:type="dxa" w:w="19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84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5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7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01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02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03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04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05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08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09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11</w:t>
            </w:r>
          </w:p>
        </w:tc>
        <w:tc>
          <w:tcPr>
            <w:tcW w:type="dxa" w:w="15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3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9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11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12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13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14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15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138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</w:t>
            </w:r>
          </w:p>
        </w:tc>
        <w:tc>
          <w:tcPr>
            <w:tcW w:type="dxa" w:w="3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Снижение объема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1.2</w:t>
            </w:r>
          </w:p>
        </w:tc>
        <w:tc>
          <w:tcPr>
            <w:tcW w:type="dxa" w:w="3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Доля жилого фонда, признанного аварийным и подлежащим сносу, внесенного в цифровой реестр аварийного жилья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процент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spacing w:val="0"/>
                <w:sz w:val="22"/>
              </w:rPr>
              <w:t>100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38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1 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2.1</w:t>
            </w:r>
          </w:p>
        </w:tc>
        <w:tc>
          <w:tcPr>
            <w:tcW w:type="dxa" w:w="3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Количество квадратных метров приобретенного жилья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2.2</w:t>
            </w:r>
          </w:p>
        </w:tc>
        <w:tc>
          <w:tcPr>
            <w:tcW w:type="dxa" w:w="3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Количество граждан, переселенных из жилищного фонда, признанного аварийным и подлежащим сносу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человек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2.3</w:t>
            </w:r>
          </w:p>
        </w:tc>
        <w:tc>
          <w:tcPr>
            <w:tcW w:type="dxa" w:w="3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Площадь расселенного жилищного фонда, в домах признанных аварийными и подлежащими сносу путем предоставления другого жилого помещения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2.4</w:t>
            </w:r>
          </w:p>
        </w:tc>
        <w:tc>
          <w:tcPr>
            <w:tcW w:type="dxa" w:w="3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Площадь расселенного жилищного фонда, в домах признанных аварийными и подлежащими сносу путем выплаты возмещения (выкупной стоимости)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spacing w:val="0"/>
                <w:sz w:val="22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pacing w:val="0"/>
                <w:sz w:val="22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3.</w:t>
            </w:r>
          </w:p>
        </w:tc>
        <w:tc>
          <w:tcPr>
            <w:tcW w:type="dxa" w:w="1382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2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3.1</w:t>
            </w:r>
          </w:p>
        </w:tc>
        <w:tc>
          <w:tcPr>
            <w:tcW w:type="dxa" w:w="3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Внесение сведений в АИС ППК«ФРТ»</w:t>
            </w:r>
          </w:p>
        </w:tc>
        <w:tc>
          <w:tcPr>
            <w:tcW w:type="dxa" w:w="1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процент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-</w:t>
            </w:r>
          </w:p>
        </w:tc>
        <w:tc>
          <w:tcPr>
            <w:tcW w:type="dxa" w:w="15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</w:t>
            </w:r>
          </w:p>
        </w:tc>
      </w:tr>
    </w:tbl>
    <w:p w14:paraId="5A04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Внесение сведений в АИС ППК «ФРТ» осуществляется в течение 14 дней от даты издания постановления администрации города Магнитогорска о признании дома аварийным и подлежащим сносу. </w:t>
      </w:r>
    </w:p>
    <w:p w14:paraId="5B04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5C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проекта</w:t>
      </w:r>
    </w:p>
    <w:p w14:paraId="5D04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32"/>
        <w:gridCol w:w="2204"/>
        <w:gridCol w:w="1622"/>
        <w:gridCol w:w="2155"/>
        <w:gridCol w:w="739"/>
        <w:gridCol w:w="711"/>
        <w:gridCol w:w="587"/>
        <w:gridCol w:w="706"/>
        <w:gridCol w:w="700"/>
        <w:gridCol w:w="591"/>
        <w:gridCol w:w="1731"/>
        <w:gridCol w:w="2191"/>
      </w:tblGrid>
      <w:tr>
        <w:tc>
          <w:tcPr>
            <w:tcW w:type="dxa" w:w="6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 xml:space="preserve">№ </w:t>
            </w:r>
            <w:r>
              <w:rPr>
                <w:rFonts w:ascii="Times New Roman" w:hAnsi="Times New Roman"/>
                <w:spacing w:val="0"/>
                <w:sz w:val="22"/>
              </w:rPr>
              <w:t>п/п</w:t>
            </w:r>
          </w:p>
        </w:tc>
        <w:tc>
          <w:tcPr>
            <w:tcW w:type="dxa" w:w="22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6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21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3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Значение показателя по годам</w:t>
            </w:r>
          </w:p>
        </w:tc>
        <w:tc>
          <w:tcPr>
            <w:tcW w:type="dxa" w:w="17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Характеристика мероприятия (результата)</w:t>
            </w:r>
          </w:p>
        </w:tc>
        <w:tc>
          <w:tcPr>
            <w:tcW w:type="dxa" w:w="21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Связь с показателями регионального проекта</w:t>
            </w:r>
          </w:p>
        </w:tc>
      </w:tr>
      <w:tr>
        <w:tc>
          <w:tcPr>
            <w:tcW w:type="dxa" w:w="6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2025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2026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2027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2029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2030</w:t>
            </w:r>
          </w:p>
        </w:tc>
        <w:tc>
          <w:tcPr>
            <w:tcW w:type="dxa" w:w="17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2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5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9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</w:t>
            </w:r>
          </w:p>
        </w:tc>
        <w:tc>
          <w:tcPr>
            <w:tcW w:type="dxa" w:w="1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11</w:t>
            </w:r>
          </w:p>
        </w:tc>
        <w:tc>
          <w:tcPr>
            <w:tcW w:type="dxa" w:w="2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12</w:t>
            </w:r>
          </w:p>
        </w:tc>
      </w:tr>
      <w:tr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</w:t>
            </w:r>
          </w:p>
        </w:tc>
        <w:tc>
          <w:tcPr>
            <w:tcW w:type="dxa" w:w="1393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1.1</w:t>
            </w:r>
          </w:p>
        </w:tc>
        <w:tc>
          <w:tcPr>
            <w:tcW w:type="dxa" w:w="2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Снижен объем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1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10 979,41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spacing w:val="0"/>
                <w:sz w:val="22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spacing w:val="0"/>
                <w:sz w:val="22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spacing w:val="0"/>
                <w:sz w:val="22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spacing w:val="0"/>
                <w:sz w:val="22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spacing w:val="0"/>
                <w:sz w:val="22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spacing w:val="0"/>
                <w:sz w:val="22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</w:t>
            </w:r>
          </w:p>
        </w:tc>
        <w:tc>
          <w:tcPr>
            <w:tcW w:type="dxa" w:w="1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Расселено жилых помещений</w:t>
            </w:r>
          </w:p>
        </w:tc>
        <w:tc>
          <w:tcPr>
            <w:tcW w:type="dxa" w:w="2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  <w:p w14:paraId="8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</w:t>
            </w:r>
          </w:p>
        </w:tc>
        <w:tc>
          <w:tcPr>
            <w:tcW w:type="dxa" w:w="1393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1. «Переселение граждан из жилищного фонда, признанного аварийным и подлежащим сносу»</w:t>
            </w:r>
          </w:p>
        </w:tc>
      </w:tr>
      <w:tr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2.1</w:t>
            </w:r>
          </w:p>
        </w:tc>
        <w:tc>
          <w:tcPr>
            <w:tcW w:type="dxa" w:w="2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Приобретение (строительство) жилых помещений</w:t>
            </w:r>
          </w:p>
        </w:tc>
        <w:tc>
          <w:tcPr>
            <w:tcW w:type="dxa" w:w="1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4 726,4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Приобретено (построено) жилых помещений</w:t>
            </w:r>
          </w:p>
        </w:tc>
        <w:tc>
          <w:tcPr>
            <w:tcW w:type="dxa" w:w="2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2.2</w:t>
            </w:r>
          </w:p>
        </w:tc>
        <w:tc>
          <w:tcPr>
            <w:tcW w:type="dxa" w:w="2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Выплата возмещения (выкупной стоимости)</w:t>
            </w:r>
          </w:p>
        </w:tc>
        <w:tc>
          <w:tcPr>
            <w:tcW w:type="dxa" w:w="1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тыс. руб.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7 264,71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Расселено жилых помещений</w:t>
            </w:r>
          </w:p>
        </w:tc>
        <w:tc>
          <w:tcPr>
            <w:tcW w:type="dxa" w:w="2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2.3</w:t>
            </w:r>
          </w:p>
        </w:tc>
        <w:tc>
          <w:tcPr>
            <w:tcW w:type="dxa" w:w="2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Расселение жилищного фонда, в домах признанных аварийными и подлежащими сносу</w:t>
            </w:r>
          </w:p>
        </w:tc>
        <w:tc>
          <w:tcPr>
            <w:tcW w:type="dxa" w:w="1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кв. м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10 979,41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Расселено жилых помещений</w:t>
            </w:r>
          </w:p>
        </w:tc>
        <w:tc>
          <w:tcPr>
            <w:tcW w:type="dxa" w:w="2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Снижение объема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1393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Задача 2. «Внесение сведений о жилом фонде, признанном аварийным и подлежащим сносу в цифровой реестр аварийного жилья»</w:t>
            </w:r>
          </w:p>
        </w:tc>
      </w:tr>
      <w:tr>
        <w:tc>
          <w:tcPr>
            <w:tcW w:type="dxa" w:w="6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3.1</w:t>
            </w:r>
          </w:p>
        </w:tc>
        <w:tc>
          <w:tcPr>
            <w:tcW w:type="dxa" w:w="22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Внесение сведений о расселении дома</w:t>
            </w:r>
          </w:p>
        </w:tc>
        <w:tc>
          <w:tcPr>
            <w:tcW w:type="dxa" w:w="16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процент</w:t>
            </w:r>
          </w:p>
        </w:tc>
        <w:tc>
          <w:tcPr>
            <w:tcW w:type="dxa" w:w="21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1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100,0</w:t>
            </w:r>
          </w:p>
        </w:tc>
        <w:tc>
          <w:tcPr>
            <w:tcW w:type="dxa" w:w="2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Доля аварийного жилого фонда, внесенного в цифровой реестр аварийного жилья</w:t>
            </w:r>
          </w:p>
          <w:p w14:paraId="B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</w:p>
        </w:tc>
      </w:tr>
    </w:tbl>
    <w:p w14:paraId="BB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t>5. Финансовое обеспечение проекта</w:t>
      </w:r>
    </w:p>
    <w:p w14:paraId="BC04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918"/>
        <w:gridCol w:w="1406"/>
        <w:gridCol w:w="1480"/>
        <w:gridCol w:w="1273"/>
        <w:gridCol w:w="1283"/>
        <w:gridCol w:w="1279"/>
        <w:gridCol w:w="1276"/>
        <w:gridCol w:w="1649"/>
      </w:tblGrid>
      <w:tr>
        <w:tc>
          <w:tcPr>
            <w:tcW w:type="dxa" w:w="49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964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2025</w:t>
            </w:r>
          </w:p>
        </w:tc>
        <w:tc>
          <w:tcPr>
            <w:tcW w:type="dxa" w:w="14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2026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2027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2028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2030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Всего</w:t>
            </w:r>
          </w:p>
        </w:tc>
      </w:tr>
      <w:tr>
        <w:trPr>
          <w:trHeight w:hRule="exact" w:val="283"/>
        </w:trPr>
        <w:tc>
          <w:tcPr>
            <w:tcW w:type="dxa" w:w="4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1</w:t>
            </w:r>
          </w:p>
        </w:tc>
        <w:tc>
          <w:tcPr>
            <w:tcW w:type="dxa" w:w="1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2</w:t>
            </w:r>
          </w:p>
        </w:tc>
        <w:tc>
          <w:tcPr>
            <w:tcW w:type="dxa" w:w="14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3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4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6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8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9</w:t>
            </w:r>
          </w:p>
        </w:tc>
      </w:tr>
      <w:tr>
        <w:tc>
          <w:tcPr>
            <w:tcW w:type="dxa" w:w="4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Всего на реализацию проекта, в т.ч.</w:t>
            </w:r>
          </w:p>
        </w:tc>
        <w:tc>
          <w:tcPr>
            <w:tcW w:type="dxa" w:w="1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4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4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4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4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4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4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Местный бюджет</w:t>
            </w:r>
          </w:p>
        </w:tc>
        <w:tc>
          <w:tcPr>
            <w:tcW w:type="dxa" w:w="1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4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49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Иные источники</w:t>
            </w:r>
          </w:p>
        </w:tc>
        <w:tc>
          <w:tcPr>
            <w:tcW w:type="dxa" w:w="14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4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  <w:tc>
          <w:tcPr>
            <w:tcW w:type="dxa" w:w="16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2"/>
              </w:rPr>
              <w:t>0,00</w:t>
            </w:r>
          </w:p>
        </w:tc>
      </w:tr>
    </w:tbl>
    <w:p w14:paraId="F6040000">
      <w:pPr>
        <w:pStyle w:val="Style_1"/>
        <w:widowControl w:val="0"/>
        <w:spacing w:after="0" w:before="0" w:line="240" w:lineRule="auto"/>
        <w:ind/>
        <w:jc w:val="right"/>
        <w:rPr>
          <w:rFonts w:ascii="Times New Roman" w:hAnsi="Times New Roman"/>
        </w:rPr>
      </w:pPr>
    </w:p>
    <w:p w14:paraId="F7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br w:type="page"/>
      </w:r>
    </w:p>
    <w:p w14:paraId="F8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6. План по реализации проекта</w:t>
      </w:r>
    </w:p>
    <w:p w14:paraId="F904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 2025 году</w:t>
      </w:r>
    </w:p>
    <w:p w14:paraId="FA04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sz w:val="16"/>
        </w:rPr>
      </w:pPr>
    </w:p>
    <w:tbl>
      <w:tblPr>
        <w:tblStyle w:val="Style_2"/>
        <w:tblW w:type="auto" w:w="0"/>
        <w:jc w:val="left"/>
        <w:tblInd w:type="dxa" w:w="-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257"/>
        <w:gridCol w:w="2568"/>
        <w:gridCol w:w="2637"/>
        <w:gridCol w:w="1730"/>
        <w:gridCol w:w="1310"/>
        <w:gridCol w:w="2265"/>
        <w:gridCol w:w="2803"/>
      </w:tblGrid>
      <w:tr>
        <w:tc>
          <w:tcPr>
            <w:tcW w:type="dxa" w:w="12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№</w:t>
            </w:r>
          </w:p>
          <w:p w14:paraId="F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п/п</w:t>
            </w:r>
          </w:p>
        </w:tc>
        <w:tc>
          <w:tcPr>
            <w:tcW w:type="dxa" w:w="25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 xml:space="preserve">Наименование мероприятия (результата), контрольной точки  </w:t>
            </w:r>
          </w:p>
        </w:tc>
        <w:tc>
          <w:tcPr>
            <w:tcW w:type="dxa" w:w="26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 xml:space="preserve">Тип мероприятия </w:t>
            </w:r>
          </w:p>
        </w:tc>
        <w:tc>
          <w:tcPr>
            <w:tcW w:type="dxa" w:w="304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Срок реализации</w:t>
            </w:r>
          </w:p>
        </w:tc>
        <w:tc>
          <w:tcPr>
            <w:tcW w:type="dxa" w:w="22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Адрес объекта (только для объектов капитального строительства)*</w:t>
            </w:r>
          </w:p>
        </w:tc>
        <w:tc>
          <w:tcPr>
            <w:tcW w:type="dxa" w:w="28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Вид подтверждающего документа</w:t>
            </w:r>
          </w:p>
        </w:tc>
      </w:tr>
      <w:tr>
        <w:tc>
          <w:tcPr>
            <w:tcW w:type="dxa" w:w="12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5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6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начало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конец</w:t>
            </w:r>
          </w:p>
        </w:tc>
        <w:tc>
          <w:tcPr>
            <w:tcW w:type="dxa" w:w="22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8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1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2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</w:t>
            </w: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4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5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6</w:t>
            </w: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7</w:t>
            </w: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1.</w:t>
            </w:r>
          </w:p>
        </w:tc>
        <w:tc>
          <w:tcPr>
            <w:tcW w:type="dxa" w:w="133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Общественно значимый результат «Создание благоприятных и комфортных условий проживания граждан»</w:t>
            </w: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1.1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Снижен объем жилищного фонда, признанного непригодным для проживания, аварийным и подлежащим сносу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 xml:space="preserve">- </w:t>
            </w:r>
            <w:r>
              <w:rPr>
                <w:rStyle w:val="Style_3_ch"/>
                <w:rFonts w:ascii="PT Astra Serif" w:hAnsi="PT Astra Serif"/>
                <w:spacing w:val="0"/>
                <w:sz w:val="20"/>
              </w:rPr>
              <w:footnoteReference w:id="2"/>
            </w: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  <w:p w14:paraId="1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1.1.К.1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 xml:space="preserve">Жилищный фонд признанный непригодным для проживания, аварийным и подлежащим сносу расселен, принято решение о его сносе. 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01.01.2025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31.12.2025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Х</w:t>
            </w: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 xml:space="preserve">Постановление администрации города Магнитогорска о сносе </w:t>
            </w:r>
          </w:p>
        </w:tc>
      </w:tr>
      <w:tr>
        <w:trPr>
          <w:trHeight w:hRule="atLeast" w:val="335"/>
        </w:trP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2.</w:t>
            </w:r>
          </w:p>
        </w:tc>
        <w:tc>
          <w:tcPr>
            <w:tcW w:type="dxa" w:w="133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  <w:sz w:val="20"/>
                <w:highlight w:val="yellow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Задача 1. «Переселение граждан из жилищного фонда, признанного непригодным для проживания»</w:t>
            </w: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2.1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Приобретение (строительство) жилых помещений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2.1.К.1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 xml:space="preserve">Заключение муниципального контракта на приобретение (строительство) жилых помещений 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01.01.2025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31.12.2025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Х</w:t>
            </w: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Муниципальный контракт</w:t>
            </w: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2.1.К.2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Регистрация права муниципальной собственности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01.01.2025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31.12.2026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Х</w:t>
            </w: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Выписка из ЕГРН</w:t>
            </w: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2.2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Выплата возмещения (выкупной стоимости)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2.2.К.1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Выплата осуществлена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01.01.2025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31.12.2025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Х</w:t>
            </w: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Платежное поручение</w:t>
            </w: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2.2.К.2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Регистрация права муниципальной собственности на изымаемое жилое помещение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01.01.2025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31.12.2026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Х</w:t>
            </w: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Выписка из ЕГРН</w:t>
            </w: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2.3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Расселение жилищного фонда, в домах признанных непригодным для проживания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01.01.2025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31.12.2026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Х</w:t>
            </w: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2.3.К.1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Объект недвижимого имущества предоставлен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01.01.2025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31.12.2026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Х</w:t>
            </w: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акт приема-передачи жилого помещения/решение суда/выписка из ЕГРН</w:t>
            </w: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3.</w:t>
            </w:r>
          </w:p>
        </w:tc>
        <w:tc>
          <w:tcPr>
            <w:tcW w:type="dxa" w:w="1331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Задача 2. «Внесение сведений о жилом фонде, признанном непригодным для проживания аварийным и подлежащим сносу в цифровой реестр аварийного жилья»</w:t>
            </w: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3.1.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Внесение сведений о расселении жилого фонда, признанного непригодным для проживания аварийным и подлежащим сносу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 xml:space="preserve">-  </w:t>
            </w:r>
            <w:r>
              <w:rPr>
                <w:rStyle w:val="Style_3_ch"/>
                <w:rFonts w:ascii="PT Astra Serif" w:hAnsi="PT Astra Serif"/>
                <w:spacing w:val="0"/>
                <w:sz w:val="20"/>
              </w:rPr>
              <w:footnoteReference w:id="3"/>
            </w: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12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3.1.К.1</w:t>
            </w:r>
          </w:p>
        </w:tc>
        <w:tc>
          <w:tcPr>
            <w:tcW w:type="dxa" w:w="2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Внесены сведения о расселении дома</w:t>
            </w:r>
          </w:p>
        </w:tc>
        <w:tc>
          <w:tcPr>
            <w:tcW w:type="dxa" w:w="26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01.01.2025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31.12.2026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Х</w:t>
            </w:r>
          </w:p>
        </w:tc>
        <w:tc>
          <w:tcPr>
            <w:tcW w:type="dxa" w:w="2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pacing w:val="0"/>
                <w:sz w:val="20"/>
              </w:rPr>
              <w:t>Выгрузка из АИС ППК «ФРТ»</w:t>
            </w:r>
          </w:p>
        </w:tc>
      </w:tr>
    </w:tbl>
    <w:p w14:paraId="66050000">
      <w:pPr>
        <w:pStyle w:val="Style_1"/>
        <w:spacing w:after="0" w:before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* Перечень объектов будет указан после заключения контракт</w:t>
      </w:r>
      <w:bookmarkStart w:id="1" w:name="_GoBack"/>
      <w:r>
        <w:rPr>
          <w:rFonts w:ascii="Times New Roman" w:hAnsi="Times New Roman"/>
        </w:rPr>
        <w:t>о</w:t>
      </w:r>
      <w:bookmarkEnd w:id="1"/>
    </w:p>
    <w:sectPr>
      <w:headerReference r:id="rId1" w:type="default"/>
      <w:type w:val="nextPage"/>
      <w:pgSz w:h="11906" w:orient="landscape" w:w="16838"/>
      <w:pgMar w:bottom="1134" w:footer="0" w:gutter="0" w:header="720" w:left="1134" w:right="1134" w:top="1134"/>
      <w:pgNumType w:fmt="decimal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67050000">
      <w:pPr>
        <w:pStyle w:val="Style_82"/>
        <w:widowControl w:val="0"/>
        <w:spacing w:after="200" w:before="0"/>
        <w:ind/>
      </w:pPr>
      <w:r>
        <w:rPr>
          <w:vertAlign w:val="superscript"/>
        </w:rPr>
        <w:footnoteRef/>
      </w:r>
      <w:r>
        <w:t xml:space="preserve"> </w:t>
      </w:r>
      <w:r>
        <w:t>Подходящий тип мероприятия отсутствует в Единым методическим рекомендациях</w:t>
      </w:r>
    </w:p>
  </w:footnote>
  <w:footnote w:id="2">
    <w:p w14:paraId="68050000">
      <w:pPr>
        <w:pStyle w:val="Style_82"/>
        <w:widowControl w:val="0"/>
        <w:spacing w:after="200" w:before="0"/>
        <w:ind/>
      </w:pPr>
      <w:r>
        <w:rPr>
          <w:vertAlign w:val="superscript"/>
        </w:rPr>
        <w:footnoteRef/>
      </w:r>
      <w:r>
        <w:t xml:space="preserve"> </w:t>
      </w:r>
      <w:r>
        <w:t>Подходящий тип мероприятия отсутствует в Единым методическим рекомендациях.</w:t>
      </w:r>
    </w:p>
  </w:footnote>
  <w:footnote w:id="3">
    <w:p w14:paraId="69050000">
      <w:pPr>
        <w:pStyle w:val="Style_82"/>
        <w:widowControl w:val="0"/>
        <w:spacing w:after="200" w:before="0"/>
        <w:ind/>
      </w:pPr>
      <w:r>
        <w:rPr>
          <w:vertAlign w:val="superscript"/>
        </w:rPr>
        <w:footnoteRef/>
      </w:r>
      <w:r>
        <w:t xml:space="preserve"> </w:t>
      </w:r>
      <w:r>
        <w:t>Подходящий тип мероприятия отсутствует в Единым методическим рекомендациях.</w:t>
      </w: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200" w:before="0"/>
      <w:ind/>
      <w:rPr>
        <w:rFonts w:ascii="Times New Roman" w:hAnsi="Times New Roman"/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3" w:type="paragraph">
    <w:name w:val="Footnote Reference"/>
    <w:link w:val="Style_3_ch"/>
    <w:rPr>
      <w:vertAlign w:val="superscript"/>
    </w:rPr>
  </w:style>
  <w:style w:styleId="Style_3_ch" w:type="character">
    <w:name w:val="Footnote Reference"/>
    <w:link w:val="Style_3"/>
    <w:rPr>
      <w:vertAlign w:val="superscript"/>
    </w:rPr>
  </w:style>
  <w:style w:styleId="Style_5" w:type="paragraph">
    <w:name w:val="xl80"/>
    <w:basedOn w:val="Style_1"/>
    <w:link w:val="Style_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_ch" w:type="character">
    <w:name w:val="xl80"/>
    <w:basedOn w:val="Style_1_ch"/>
    <w:link w:val="Style_5"/>
    <w:rPr>
      <w:rFonts w:ascii="Times New Roman" w:hAnsi="Times New Roman"/>
      <w:sz w:val="20"/>
    </w:rPr>
  </w:style>
  <w:style w:styleId="Style_6" w:type="paragraph">
    <w:name w:val="xl81"/>
    <w:basedOn w:val="Style_1"/>
    <w:link w:val="Style_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_ch" w:type="character">
    <w:name w:val="xl81"/>
    <w:basedOn w:val="Style_1_ch"/>
    <w:link w:val="Style_6"/>
    <w:rPr>
      <w:rFonts w:ascii="Times New Roman" w:hAnsi="Times New Roman"/>
      <w:sz w:val="20"/>
    </w:rPr>
  </w:style>
  <w:style w:styleId="Style_7" w:type="paragraph">
    <w:name w:val="xl105"/>
    <w:basedOn w:val="Style_1"/>
    <w:link w:val="Style_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_ch" w:type="character">
    <w:name w:val="xl105"/>
    <w:basedOn w:val="Style_1_ch"/>
    <w:link w:val="Style_7"/>
    <w:rPr>
      <w:rFonts w:ascii="Times New Roman" w:hAnsi="Times New Roman"/>
      <w:sz w:val="20"/>
    </w:rPr>
  </w:style>
  <w:style w:styleId="Style_8" w:type="paragraph">
    <w:name w:val="Visited Internet Link"/>
    <w:basedOn w:val="Style_9"/>
    <w:link w:val="Style_8_ch"/>
    <w:rPr>
      <w:color w:val="954F72"/>
      <w:u w:val="single"/>
    </w:rPr>
  </w:style>
  <w:style w:styleId="Style_8_ch" w:type="character">
    <w:name w:val="Visited Internet Link"/>
    <w:basedOn w:val="Style_9_ch"/>
    <w:link w:val="Style_8"/>
    <w:rPr>
      <w:color w:val="954F72"/>
      <w:u w:val="single"/>
    </w:rPr>
  </w:style>
  <w:style w:styleId="Style_10" w:type="paragraph">
    <w:name w:val="toc 2"/>
    <w:next w:val="Style_1"/>
    <w:link w:val="Style_10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2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msonormal"/>
    <w:basedOn w:val="Style_1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msonormal"/>
    <w:basedOn w:val="Style_1_ch"/>
    <w:link w:val="Style_11"/>
    <w:rPr>
      <w:rFonts w:ascii="Times New Roman" w:hAnsi="Times New Roman"/>
      <w:sz w:val="24"/>
    </w:rPr>
  </w:style>
  <w:style w:styleId="Style_12" w:type="paragraph">
    <w:name w:val="ConsPlusDocList"/>
    <w:link w:val="Style_12_ch"/>
    <w:pPr>
      <w:widowControl w:val="0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12_ch" w:type="character">
    <w:name w:val="ConsPlusDocList"/>
    <w:link w:val="Style_12"/>
    <w:rPr>
      <w:rFonts w:ascii="Calibri" w:hAnsi="Calibri"/>
      <w:color w:val="000000"/>
      <w:spacing w:val="0"/>
      <w:sz w:val="22"/>
    </w:rPr>
  </w:style>
  <w:style w:styleId="Style_13" w:type="paragraph">
    <w:name w:val="Header"/>
    <w:link w:val="Style_13_ch"/>
  </w:style>
  <w:style w:styleId="Style_13_ch" w:type="character">
    <w:name w:val="Header"/>
    <w:link w:val="Style_13"/>
  </w:style>
  <w:style w:styleId="Style_14" w:type="paragraph">
    <w:name w:val="Balloon Text"/>
    <w:basedOn w:val="Style_1"/>
    <w:link w:val="Style_14_ch"/>
    <w:pPr>
      <w:spacing w:after="0" w:before="0" w:line="240" w:lineRule="auto"/>
      <w:ind/>
    </w:pPr>
    <w:rPr>
      <w:rFonts w:ascii="Segoe UI" w:hAnsi="Segoe UI"/>
      <w:sz w:val="18"/>
    </w:rPr>
  </w:style>
  <w:style w:styleId="Style_14_ch" w:type="character">
    <w:name w:val="Balloon Text"/>
    <w:basedOn w:val="Style_1_ch"/>
    <w:link w:val="Style_14"/>
    <w:rPr>
      <w:rFonts w:ascii="Segoe UI" w:hAnsi="Segoe UI"/>
      <w:sz w:val="18"/>
    </w:rPr>
  </w:style>
  <w:style w:styleId="Style_15" w:type="paragraph">
    <w:name w:val="xl77"/>
    <w:basedOn w:val="Style_1"/>
    <w:link w:val="Style_15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15_ch" w:type="character">
    <w:name w:val="xl77"/>
    <w:basedOn w:val="Style_1_ch"/>
    <w:link w:val="Style_15"/>
    <w:rPr>
      <w:rFonts w:ascii="Times New Roman" w:hAnsi="Times New Roman"/>
      <w:sz w:val="20"/>
    </w:rPr>
  </w:style>
  <w:style w:styleId="Style_16" w:type="paragraph">
    <w:name w:val="annotation reference"/>
    <w:basedOn w:val="Style_9"/>
    <w:link w:val="Style_16_ch"/>
    <w:rPr>
      <w:sz w:val="16"/>
    </w:rPr>
  </w:style>
  <w:style w:styleId="Style_16_ch" w:type="character">
    <w:name w:val="annotation reference"/>
    <w:basedOn w:val="Style_9_ch"/>
    <w:link w:val="Style_16"/>
    <w:rPr>
      <w:sz w:val="16"/>
    </w:rPr>
  </w:style>
  <w:style w:styleId="Style_17" w:type="paragraph">
    <w:name w:val="Указатель"/>
    <w:basedOn w:val="Style_1"/>
    <w:link w:val="Style_17_ch"/>
    <w:rPr>
      <w:rFonts w:ascii="PT Astra Serif" w:hAnsi="PT Astra Serif"/>
    </w:rPr>
  </w:style>
  <w:style w:styleId="Style_17_ch" w:type="character">
    <w:name w:val="Указатель"/>
    <w:basedOn w:val="Style_1_ch"/>
    <w:link w:val="Style_17"/>
    <w:rPr>
      <w:rFonts w:ascii="PT Astra Serif" w:hAnsi="PT Astra Serif"/>
    </w:rPr>
  </w:style>
  <w:style w:styleId="Style_18" w:type="paragraph">
    <w:name w:val="toc 4"/>
    <w:next w:val="Style_1"/>
    <w:link w:val="Style_18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4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xl109"/>
    <w:basedOn w:val="Style_1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9_ch" w:type="character">
    <w:name w:val="xl109"/>
    <w:basedOn w:val="Style_1_ch"/>
    <w:link w:val="Style_19"/>
    <w:rPr>
      <w:rFonts w:ascii="Times New Roman" w:hAnsi="Times New Roman"/>
      <w:sz w:val="20"/>
    </w:rPr>
  </w:style>
  <w:style w:styleId="Style_20" w:type="paragraph">
    <w:name w:val="font5"/>
    <w:basedOn w:val="Style_1"/>
    <w:link w:val="Style_20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0_ch" w:type="character">
    <w:name w:val="font5"/>
    <w:basedOn w:val="Style_1_ch"/>
    <w:link w:val="Style_20"/>
    <w:rPr>
      <w:rFonts w:ascii="Times New Roman" w:hAnsi="Times New Roman"/>
      <w:color w:val="000000"/>
    </w:rPr>
  </w:style>
  <w:style w:styleId="Style_21" w:type="paragraph">
    <w:name w:val="toc 6"/>
    <w:next w:val="Style_1"/>
    <w:link w:val="Style_21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toc 6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toc 7"/>
    <w:next w:val="Style_1"/>
    <w:link w:val="Style_22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toc 7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Header"/>
    <w:basedOn w:val="Style_1"/>
    <w:link w:val="Style_23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3_ch" w:type="character">
    <w:name w:val="Header"/>
    <w:basedOn w:val="Style_1_ch"/>
    <w:link w:val="Style_23"/>
  </w:style>
  <w:style w:styleId="Style_24" w:type="paragraph">
    <w:name w:val="FollowedHyperlink"/>
    <w:basedOn w:val="Style_9"/>
    <w:link w:val="Style_24_ch"/>
    <w:rPr>
      <w:color w:val="954F72"/>
      <w:u w:val="single"/>
    </w:rPr>
  </w:style>
  <w:style w:styleId="Style_24_ch" w:type="character">
    <w:name w:val="FollowedHyperlink"/>
    <w:basedOn w:val="Style_9_ch"/>
    <w:link w:val="Style_24"/>
    <w:rPr>
      <w:color w:val="954F72"/>
      <w:u w:val="single"/>
    </w:rPr>
  </w:style>
  <w:style w:styleId="Style_25" w:type="paragraph">
    <w:name w:val="xl92"/>
    <w:basedOn w:val="Style_1"/>
    <w:link w:val="Style_2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5_ch" w:type="character">
    <w:name w:val="xl92"/>
    <w:basedOn w:val="Style_1_ch"/>
    <w:link w:val="Style_25"/>
    <w:rPr>
      <w:rFonts w:ascii="Times New Roman" w:hAnsi="Times New Roman"/>
      <w:sz w:val="20"/>
    </w:rPr>
  </w:style>
  <w:style w:styleId="Style_26" w:type="paragraph">
    <w:name w:val="Нижний колонтитул Знак"/>
    <w:basedOn w:val="Style_9"/>
    <w:link w:val="Style_26_ch"/>
  </w:style>
  <w:style w:styleId="Style_26_ch" w:type="character">
    <w:name w:val="Нижний колонтитул Знак"/>
    <w:basedOn w:val="Style_9_ch"/>
    <w:link w:val="Style_26"/>
  </w:style>
  <w:style w:styleId="Style_27" w:type="paragraph">
    <w:name w:val="Contents 5"/>
    <w:link w:val="Style_2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Contents 5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Верхний колонтитул Знак"/>
    <w:basedOn w:val="Style_9"/>
    <w:link w:val="Style_28_ch"/>
  </w:style>
  <w:style w:styleId="Style_28_ch" w:type="character">
    <w:name w:val="Верхний колонтитул Знак"/>
    <w:basedOn w:val="Style_9_ch"/>
    <w:link w:val="Style_28"/>
  </w:style>
  <w:style w:styleId="Style_29" w:type="paragraph">
    <w:name w:val="xl71"/>
    <w:basedOn w:val="Style_1"/>
    <w:link w:val="Style_2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9_ch" w:type="character">
    <w:name w:val="xl71"/>
    <w:basedOn w:val="Style_1_ch"/>
    <w:link w:val="Style_29"/>
    <w:rPr>
      <w:rFonts w:ascii="Times New Roman" w:hAnsi="Times New Roman"/>
      <w:sz w:val="20"/>
    </w:rPr>
  </w:style>
  <w:style w:styleId="Style_30" w:type="paragraph">
    <w:name w:val="xl93"/>
    <w:basedOn w:val="Style_1"/>
    <w:link w:val="Style_3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30_ch" w:type="character">
    <w:name w:val="xl93"/>
    <w:basedOn w:val="Style_1_ch"/>
    <w:link w:val="Style_30"/>
    <w:rPr>
      <w:rFonts w:ascii="Times New Roman" w:hAnsi="Times New Roman"/>
      <w:sz w:val="20"/>
    </w:rPr>
  </w:style>
  <w:style w:styleId="Style_31" w:type="paragraph">
    <w:name w:val="Endnote"/>
    <w:link w:val="Style_31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1_ch" w:type="character">
    <w:name w:val="Endnote"/>
    <w:link w:val="Style_31"/>
    <w:rPr>
      <w:rFonts w:ascii="XO Thames" w:hAnsi="XO Thames"/>
      <w:color w:val="000000"/>
      <w:spacing w:val="0"/>
      <w:sz w:val="22"/>
    </w:rPr>
  </w:style>
  <w:style w:styleId="Style_32" w:type="paragraph">
    <w:name w:val="heading 3"/>
    <w:next w:val="Style_1"/>
    <w:link w:val="Style_32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32_ch" w:type="character">
    <w:name w:val="heading 3"/>
    <w:link w:val="Style_32"/>
    <w:rPr>
      <w:rFonts w:ascii="XO Thames" w:hAnsi="XO Thames"/>
      <w:b w:val="1"/>
      <w:color w:val="000000"/>
      <w:spacing w:val="0"/>
      <w:sz w:val="26"/>
    </w:rPr>
  </w:style>
  <w:style w:styleId="Style_33" w:type="paragraph">
    <w:name w:val="xl66"/>
    <w:basedOn w:val="Style_1"/>
    <w:link w:val="Style_3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3_ch" w:type="character">
    <w:name w:val="xl66"/>
    <w:basedOn w:val="Style_1_ch"/>
    <w:link w:val="Style_33"/>
    <w:rPr>
      <w:rFonts w:ascii="Times New Roman" w:hAnsi="Times New Roman"/>
      <w:sz w:val="24"/>
    </w:rPr>
  </w:style>
  <w:style w:styleId="Style_34" w:type="paragraph">
    <w:name w:val="xl88"/>
    <w:basedOn w:val="Style_1"/>
    <w:link w:val="Style_3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4_ch" w:type="character">
    <w:name w:val="xl88"/>
    <w:basedOn w:val="Style_1_ch"/>
    <w:link w:val="Style_34"/>
    <w:rPr>
      <w:rFonts w:ascii="Times New Roman" w:hAnsi="Times New Roman"/>
      <w:sz w:val="20"/>
    </w:rPr>
  </w:style>
  <w:style w:styleId="Style_35" w:type="paragraph">
    <w:name w:val="xl79"/>
    <w:basedOn w:val="Style_1"/>
    <w:link w:val="Style_35_ch"/>
    <w:pPr>
      <w:spacing w:afterAutospacing="on" w:beforeAutospacing="on" w:line="240" w:lineRule="auto"/>
      <w:ind/>
      <w:jc w:val="both"/>
    </w:pPr>
    <w:rPr>
      <w:rFonts w:ascii="Times New Roman" w:hAnsi="Times New Roman"/>
      <w:sz w:val="20"/>
    </w:rPr>
  </w:style>
  <w:style w:styleId="Style_35_ch" w:type="character">
    <w:name w:val="xl79"/>
    <w:basedOn w:val="Style_1_ch"/>
    <w:link w:val="Style_35"/>
    <w:rPr>
      <w:rFonts w:ascii="Times New Roman" w:hAnsi="Times New Roman"/>
      <w:sz w:val="20"/>
    </w:rPr>
  </w:style>
  <w:style w:styleId="Style_36" w:type="paragraph">
    <w:name w:val="xl73"/>
    <w:basedOn w:val="Style_1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6_ch" w:type="character">
    <w:name w:val="xl73"/>
    <w:basedOn w:val="Style_1_ch"/>
    <w:link w:val="Style_36"/>
    <w:rPr>
      <w:rFonts w:ascii="Times New Roman" w:hAnsi="Times New Roman"/>
      <w:sz w:val="20"/>
    </w:rPr>
  </w:style>
  <w:style w:styleId="Style_37" w:type="paragraph">
    <w:name w:val="xl78"/>
    <w:basedOn w:val="Style_1"/>
    <w:link w:val="Style_37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37_ch" w:type="character">
    <w:name w:val="xl78"/>
    <w:basedOn w:val="Style_1_ch"/>
    <w:link w:val="Style_37"/>
    <w:rPr>
      <w:rFonts w:ascii="Times New Roman" w:hAnsi="Times New Roman"/>
      <w:sz w:val="20"/>
    </w:rPr>
  </w:style>
  <w:style w:styleId="Style_38" w:type="paragraph">
    <w:name w:val="Contents 8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Contents 8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xl99"/>
    <w:basedOn w:val="Style_1"/>
    <w:link w:val="Style_3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9_ch" w:type="character">
    <w:name w:val="xl99"/>
    <w:basedOn w:val="Style_1_ch"/>
    <w:link w:val="Style_39"/>
    <w:rPr>
      <w:rFonts w:ascii="Times New Roman" w:hAnsi="Times New Roman"/>
      <w:sz w:val="20"/>
    </w:rPr>
  </w:style>
  <w:style w:styleId="Style_40" w:type="paragraph">
    <w:name w:val="ConsPlusTitle"/>
    <w:link w:val="Style_40_ch"/>
    <w:pPr>
      <w:widowControl w:val="0"/>
      <w:spacing w:after="0" w:before="0" w:line="240" w:lineRule="auto"/>
      <w:ind w:firstLine="0" w:left="0" w:right="0"/>
      <w:jc w:val="left"/>
    </w:pPr>
    <w:rPr>
      <w:rFonts w:ascii="Calibri" w:hAnsi="Calibri"/>
      <w:b w:val="1"/>
      <w:color w:val="000000"/>
      <w:spacing w:val="0"/>
      <w:sz w:val="22"/>
    </w:rPr>
  </w:style>
  <w:style w:styleId="Style_40_ch" w:type="character">
    <w:name w:val="ConsPlusTitle"/>
    <w:link w:val="Style_40"/>
    <w:rPr>
      <w:rFonts w:ascii="Calibri" w:hAnsi="Calibri"/>
      <w:b w:val="1"/>
      <w:color w:val="000000"/>
      <w:spacing w:val="0"/>
      <w:sz w:val="22"/>
    </w:rPr>
  </w:style>
  <w:style w:styleId="Style_41" w:type="paragraph">
    <w:name w:val="xl65"/>
    <w:basedOn w:val="Style_1"/>
    <w:link w:val="Style_4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1_ch" w:type="character">
    <w:name w:val="xl65"/>
    <w:basedOn w:val="Style_1_ch"/>
    <w:link w:val="Style_41"/>
    <w:rPr>
      <w:rFonts w:ascii="Times New Roman" w:hAnsi="Times New Roman"/>
      <w:sz w:val="24"/>
    </w:rPr>
  </w:style>
  <w:style w:styleId="Style_42" w:type="paragraph">
    <w:name w:val="Contents 2"/>
    <w:link w:val="Style_4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Contents 2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xl83"/>
    <w:basedOn w:val="Style_1"/>
    <w:link w:val="Style_4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43_ch" w:type="character">
    <w:name w:val="xl83"/>
    <w:basedOn w:val="Style_1_ch"/>
    <w:link w:val="Style_43"/>
    <w:rPr>
      <w:rFonts w:ascii="Times New Roman" w:hAnsi="Times New Roman"/>
      <w:sz w:val="20"/>
    </w:rPr>
  </w:style>
  <w:style w:styleId="Style_44" w:type="paragraph">
    <w:name w:val="Содержимое таблицы"/>
    <w:basedOn w:val="Style_1"/>
    <w:link w:val="Style_44_ch"/>
    <w:pPr>
      <w:widowControl w:val="0"/>
      <w:ind/>
    </w:pPr>
  </w:style>
  <w:style w:styleId="Style_44_ch" w:type="character">
    <w:name w:val="Содержимое таблицы"/>
    <w:basedOn w:val="Style_1_ch"/>
    <w:link w:val="Style_44"/>
  </w:style>
  <w:style w:styleId="Style_45" w:type="paragraph">
    <w:name w:val="xl106"/>
    <w:basedOn w:val="Style_1"/>
    <w:link w:val="Style_4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45_ch" w:type="character">
    <w:name w:val="xl106"/>
    <w:basedOn w:val="Style_1_ch"/>
    <w:link w:val="Style_45"/>
    <w:rPr>
      <w:rFonts w:ascii="Times New Roman" w:hAnsi="Times New Roman"/>
      <w:sz w:val="20"/>
    </w:rPr>
  </w:style>
  <w:style w:styleId="Style_46" w:type="paragraph">
    <w:name w:val="Contents 4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6_ch" w:type="character">
    <w:name w:val="Contents 4"/>
    <w:link w:val="Style_46"/>
    <w:rPr>
      <w:rFonts w:ascii="XO Thames" w:hAnsi="XO Thames"/>
      <w:color w:val="000000"/>
      <w:spacing w:val="0"/>
      <w:sz w:val="28"/>
    </w:rPr>
  </w:style>
  <w:style w:styleId="Style_47" w:type="paragraph">
    <w:name w:val="xl96"/>
    <w:basedOn w:val="Style_1"/>
    <w:link w:val="Style_4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7_ch" w:type="character">
    <w:name w:val="xl96"/>
    <w:basedOn w:val="Style_1_ch"/>
    <w:link w:val="Style_47"/>
    <w:rPr>
      <w:rFonts w:ascii="Times New Roman" w:hAnsi="Times New Roman"/>
      <w:sz w:val="20"/>
    </w:rPr>
  </w:style>
  <w:style w:styleId="Style_48" w:type="paragraph">
    <w:name w:val="xl84"/>
    <w:basedOn w:val="Style_1"/>
    <w:link w:val="Style_48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48_ch" w:type="character">
    <w:name w:val="xl84"/>
    <w:basedOn w:val="Style_1_ch"/>
    <w:link w:val="Style_48"/>
    <w:rPr>
      <w:rFonts w:ascii="Times New Roman" w:hAnsi="Times New Roman"/>
      <w:sz w:val="20"/>
    </w:rPr>
  </w:style>
  <w:style w:styleId="Style_49" w:type="paragraph">
    <w:name w:val="Contents 9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Contents 9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xl91"/>
    <w:basedOn w:val="Style_1"/>
    <w:link w:val="Style_5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50_ch" w:type="character">
    <w:name w:val="xl91"/>
    <w:basedOn w:val="Style_1_ch"/>
    <w:link w:val="Style_50"/>
    <w:rPr>
      <w:rFonts w:ascii="Times New Roman" w:hAnsi="Times New Roman"/>
      <w:sz w:val="20"/>
    </w:rPr>
  </w:style>
  <w:style w:styleId="Style_51" w:type="paragraph">
    <w:name w:val="xl86"/>
    <w:basedOn w:val="Style_1"/>
    <w:link w:val="Style_5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1_ch" w:type="character">
    <w:name w:val="xl86"/>
    <w:basedOn w:val="Style_1_ch"/>
    <w:link w:val="Style_51"/>
    <w:rPr>
      <w:rFonts w:ascii="Times New Roman" w:hAnsi="Times New Roman"/>
      <w:sz w:val="24"/>
    </w:rPr>
  </w:style>
  <w:style w:styleId="Style_52" w:type="paragraph">
    <w:name w:val="Contents 1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2_ch" w:type="character">
    <w:name w:val="Contents 1"/>
    <w:link w:val="Style_52"/>
    <w:rPr>
      <w:rFonts w:ascii="XO Thames" w:hAnsi="XO Thames"/>
      <w:b w:val="1"/>
      <w:color w:val="000000"/>
      <w:spacing w:val="0"/>
      <w:sz w:val="28"/>
    </w:rPr>
  </w:style>
  <w:style w:styleId="Style_53" w:type="paragraph">
    <w:name w:val="Text body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3_ch" w:type="character">
    <w:name w:val="Text body"/>
    <w:link w:val="Style_53"/>
    <w:rPr>
      <w:rFonts w:asciiTheme="minorAscii" w:hAnsiTheme="minorHAnsi"/>
      <w:color w:val="000000"/>
      <w:spacing w:val="0"/>
      <w:sz w:val="22"/>
    </w:rPr>
  </w:style>
  <w:style w:styleId="Style_54" w:type="paragraph">
    <w:name w:val="ConsPlusJurTerm"/>
    <w:link w:val="Style_54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6"/>
    </w:rPr>
  </w:style>
  <w:style w:styleId="Style_54_ch" w:type="character">
    <w:name w:val="ConsPlusJurTerm"/>
    <w:link w:val="Style_54"/>
    <w:rPr>
      <w:rFonts w:ascii="Tahoma" w:hAnsi="Tahoma"/>
      <w:color w:val="000000"/>
      <w:spacing w:val="0"/>
      <w:sz w:val="26"/>
    </w:rPr>
  </w:style>
  <w:style w:styleId="Style_55" w:type="paragraph">
    <w:name w:val="Footnote"/>
    <w:basedOn w:val="Style_1"/>
    <w:link w:val="Style_55_ch"/>
    <w:pPr>
      <w:spacing w:after="0" w:before="0" w:line="240" w:lineRule="auto"/>
      <w:ind/>
    </w:pPr>
    <w:rPr>
      <w:sz w:val="20"/>
    </w:rPr>
  </w:style>
  <w:style w:styleId="Style_55_ch" w:type="character">
    <w:name w:val="Footnote"/>
    <w:basedOn w:val="Style_1_ch"/>
    <w:link w:val="Style_55"/>
    <w:rPr>
      <w:sz w:val="20"/>
    </w:rPr>
  </w:style>
  <w:style w:styleId="Style_56" w:type="paragraph">
    <w:name w:val="xl98"/>
    <w:basedOn w:val="Style_1"/>
    <w:link w:val="Style_5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56_ch" w:type="character">
    <w:name w:val="xl98"/>
    <w:basedOn w:val="Style_1_ch"/>
    <w:link w:val="Style_56"/>
    <w:rPr>
      <w:rFonts w:ascii="Times New Roman" w:hAnsi="Times New Roman"/>
      <w:sz w:val="20"/>
    </w:rPr>
  </w:style>
  <w:style w:styleId="Style_57" w:type="paragraph">
    <w:name w:val="xl75"/>
    <w:basedOn w:val="Style_1"/>
    <w:link w:val="Style_5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7_ch" w:type="character">
    <w:name w:val="xl75"/>
    <w:basedOn w:val="Style_1_ch"/>
    <w:link w:val="Style_57"/>
    <w:rPr>
      <w:rFonts w:ascii="Times New Roman" w:hAnsi="Times New Roman"/>
      <w:sz w:val="20"/>
    </w:rPr>
  </w:style>
  <w:style w:styleId="Style_58" w:type="paragraph">
    <w:name w:val="ConsPlusTextList"/>
    <w:link w:val="Style_58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color w:val="000000"/>
      <w:spacing w:val="0"/>
      <w:sz w:val="20"/>
    </w:rPr>
  </w:style>
  <w:style w:styleId="Style_58_ch" w:type="character">
    <w:name w:val="ConsPlusTextList"/>
    <w:link w:val="Style_58"/>
    <w:rPr>
      <w:rFonts w:ascii="Arial" w:hAnsi="Arial"/>
      <w:color w:val="000000"/>
      <w:spacing w:val="0"/>
      <w:sz w:val="20"/>
    </w:rPr>
  </w:style>
  <w:style w:styleId="Style_59" w:type="paragraph">
    <w:name w:val="toc 3"/>
    <w:next w:val="Style_1"/>
    <w:link w:val="Style_59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toc 3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Endnote Symbol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60_ch" w:type="character">
    <w:name w:val="Endnote Symbol"/>
    <w:link w:val="Style_60"/>
    <w:rPr>
      <w:rFonts w:asciiTheme="minorAscii" w:hAnsiTheme="minorHAnsi"/>
      <w:color w:val="000000"/>
      <w:spacing w:val="0"/>
      <w:sz w:val="22"/>
      <w:vertAlign w:val="superscript"/>
    </w:rPr>
  </w:style>
  <w:style w:styleId="Style_61" w:type="paragraph">
    <w:name w:val="Заголовок 1 Знак"/>
    <w:basedOn w:val="Style_9"/>
    <w:link w:val="Style_61_ch"/>
    <w:rPr>
      <w:rFonts w:ascii="Times New Roman CYR" w:hAnsi="Times New Roman CYR"/>
      <w:b w:val="1"/>
      <w:color w:val="26282F"/>
      <w:sz w:val="24"/>
    </w:rPr>
  </w:style>
  <w:style w:styleId="Style_61_ch" w:type="character">
    <w:name w:val="Заголовок 1 Знак"/>
    <w:basedOn w:val="Style_9_ch"/>
    <w:link w:val="Style_61"/>
    <w:rPr>
      <w:rFonts w:ascii="Times New Roman CYR" w:hAnsi="Times New Roman CYR"/>
      <w:b w:val="1"/>
      <w:color w:val="26282F"/>
      <w:sz w:val="24"/>
    </w:rPr>
  </w:style>
  <w:style w:styleId="Style_62" w:type="paragraph">
    <w:name w:val="Footer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2_ch" w:type="character">
    <w:name w:val="Footer"/>
    <w:link w:val="Style_62"/>
    <w:rPr>
      <w:rFonts w:asciiTheme="minorAscii" w:hAnsiTheme="minorHAnsi"/>
      <w:color w:val="000000"/>
      <w:spacing w:val="0"/>
      <w:sz w:val="22"/>
    </w:rPr>
  </w:style>
  <w:style w:styleId="Style_63" w:type="paragraph">
    <w:name w:val="xl110"/>
    <w:basedOn w:val="Style_1"/>
    <w:link w:val="Style_63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3_ch" w:type="character">
    <w:name w:val="xl110"/>
    <w:basedOn w:val="Style_1_ch"/>
    <w:link w:val="Style_63"/>
    <w:rPr>
      <w:rFonts w:ascii="Times New Roman" w:hAnsi="Times New Roman"/>
      <w:sz w:val="20"/>
    </w:rPr>
  </w:style>
  <w:style w:styleId="Style_64" w:type="paragraph">
    <w:name w:val="xl67"/>
    <w:basedOn w:val="Style_1"/>
    <w:link w:val="Style_6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4_ch" w:type="character">
    <w:name w:val="xl67"/>
    <w:basedOn w:val="Style_1_ch"/>
    <w:link w:val="Style_64"/>
    <w:rPr>
      <w:rFonts w:ascii="Times New Roman" w:hAnsi="Times New Roman"/>
      <w:sz w:val="24"/>
    </w:rPr>
  </w:style>
  <w:style w:styleId="Style_65" w:type="paragraph">
    <w:name w:val="xl104"/>
    <w:basedOn w:val="Style_1"/>
    <w:link w:val="Style_6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5_ch" w:type="character">
    <w:name w:val="xl104"/>
    <w:basedOn w:val="Style_1_ch"/>
    <w:link w:val="Style_65"/>
    <w:rPr>
      <w:rFonts w:ascii="Times New Roman" w:hAnsi="Times New Roman"/>
      <w:sz w:val="20"/>
    </w:rPr>
  </w:style>
  <w:style w:styleId="Style_66" w:type="paragraph">
    <w:name w:val="xl102"/>
    <w:basedOn w:val="Style_1"/>
    <w:link w:val="Style_6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6_ch" w:type="character">
    <w:name w:val="xl102"/>
    <w:basedOn w:val="Style_1_ch"/>
    <w:link w:val="Style_66"/>
    <w:rPr>
      <w:rFonts w:ascii="Times New Roman" w:hAnsi="Times New Roman"/>
      <w:sz w:val="20"/>
    </w:rPr>
  </w:style>
  <w:style w:styleId="Style_67" w:type="paragraph">
    <w:name w:val="Caption"/>
    <w:link w:val="Style_67_ch"/>
    <w:pPr>
      <w:widowControl w:val="1"/>
      <w:spacing w:after="0" w:before="0" w:line="240" w:lineRule="auto"/>
      <w:ind w:firstLine="0" w:left="0" w:right="0"/>
      <w:jc w:val="left"/>
    </w:pPr>
    <w:rPr>
      <w:rFonts w:ascii="PT Astra Serif" w:hAnsi="PT Astra Serif"/>
      <w:i w:val="1"/>
      <w:color w:val="000000"/>
      <w:spacing w:val="0"/>
      <w:sz w:val="24"/>
    </w:rPr>
  </w:style>
  <w:style w:styleId="Style_67_ch" w:type="character">
    <w:name w:val="Caption"/>
    <w:link w:val="Style_67"/>
    <w:rPr>
      <w:rFonts w:ascii="PT Astra Serif" w:hAnsi="PT Astra Serif"/>
      <w:i w:val="1"/>
      <w:color w:val="000000"/>
      <w:spacing w:val="0"/>
      <w:sz w:val="24"/>
    </w:rPr>
  </w:style>
  <w:style w:styleId="Style_68" w:type="paragraph">
    <w:name w:val="xl97"/>
    <w:basedOn w:val="Style_1"/>
    <w:link w:val="Style_6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8_ch" w:type="character">
    <w:name w:val="xl97"/>
    <w:basedOn w:val="Style_1_ch"/>
    <w:link w:val="Style_68"/>
    <w:rPr>
      <w:rFonts w:ascii="Times New Roman" w:hAnsi="Times New Roman"/>
      <w:sz w:val="20"/>
    </w:rPr>
  </w:style>
  <w:style w:styleId="Style_69" w:type="paragraph">
    <w:name w:val="List"/>
    <w:basedOn w:val="Style_53"/>
    <w:link w:val="Style_69_ch"/>
    <w:rPr>
      <w:rFonts w:ascii="PT Astra Serif" w:hAnsi="PT Astra Serif"/>
    </w:rPr>
  </w:style>
  <w:style w:styleId="Style_69_ch" w:type="character">
    <w:name w:val="List"/>
    <w:basedOn w:val="Style_53_ch"/>
    <w:link w:val="Style_69"/>
    <w:rPr>
      <w:rFonts w:ascii="PT Astra Serif" w:hAnsi="PT Astra Serif"/>
    </w:rPr>
  </w:style>
  <w:style w:styleId="Style_70" w:type="paragraph">
    <w:name w:val="xl101"/>
    <w:basedOn w:val="Style_1"/>
    <w:link w:val="Style_7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0_ch" w:type="character">
    <w:name w:val="xl101"/>
    <w:basedOn w:val="Style_1_ch"/>
    <w:link w:val="Style_70"/>
    <w:rPr>
      <w:rFonts w:ascii="Times New Roman" w:hAnsi="Times New Roman"/>
      <w:sz w:val="20"/>
    </w:rPr>
  </w:style>
  <w:style w:styleId="Style_71" w:type="paragraph">
    <w:name w:val="heading 1"/>
    <w:link w:val="Style_71_ch"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71_ch" w:type="character">
    <w:name w:val="heading 1"/>
    <w:link w:val="Style_71"/>
    <w:rPr>
      <w:rFonts w:ascii="Times New Roman CYR" w:hAnsi="Times New Roman CYR"/>
      <w:b w:val="1"/>
      <w:color w:val="26282F"/>
      <w:sz w:val="24"/>
    </w:rPr>
  </w:style>
  <w:style w:styleId="Style_72" w:type="paragraph">
    <w:name w:val="Символ сноски"/>
    <w:basedOn w:val="Style_9"/>
    <w:link w:val="Style_72_ch"/>
    <w:rPr>
      <w:vertAlign w:val="superscript"/>
    </w:rPr>
  </w:style>
  <w:style w:styleId="Style_72_ch" w:type="character">
    <w:name w:val="Символ сноски"/>
    <w:basedOn w:val="Style_9_ch"/>
    <w:link w:val="Style_72"/>
    <w:rPr>
      <w:vertAlign w:val="superscript"/>
    </w:rPr>
  </w:style>
  <w:style w:styleId="Style_73" w:type="paragraph">
    <w:name w:val="List Paragraph"/>
    <w:basedOn w:val="Style_1"/>
    <w:link w:val="Style_73_ch"/>
    <w:pPr>
      <w:spacing w:after="200" w:before="0"/>
      <w:ind w:firstLine="0" w:left="720" w:right="0"/>
      <w:contextualSpacing w:val="1"/>
    </w:pPr>
  </w:style>
  <w:style w:styleId="Style_73_ch" w:type="character">
    <w:name w:val="List Paragraph"/>
    <w:basedOn w:val="Style_1_ch"/>
    <w:link w:val="Style_73"/>
  </w:style>
  <w:style w:styleId="Style_74" w:type="paragraph">
    <w:name w:val="heading 5"/>
    <w:link w:val="Style_74_ch"/>
    <w:uiPriority w:val="9"/>
    <w:qFormat/>
    <w:pPr>
      <w:ind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74_ch" w:type="character">
    <w:name w:val="heading 5"/>
    <w:link w:val="Style_74"/>
    <w:rPr>
      <w:rFonts w:ascii="XO Thames" w:hAnsi="XO Thames"/>
      <w:b w:val="1"/>
      <w:color w:val="000000"/>
      <w:spacing w:val="0"/>
      <w:sz w:val="22"/>
    </w:rPr>
  </w:style>
  <w:style w:styleId="Style_75" w:type="paragraph">
    <w:name w:val="ConsPlusNonformat"/>
    <w:link w:val="Style_75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75_ch" w:type="character">
    <w:name w:val="ConsPlusNonformat"/>
    <w:link w:val="Style_75"/>
    <w:rPr>
      <w:rFonts w:ascii="Courier New" w:hAnsi="Courier New"/>
      <w:color w:val="000000"/>
      <w:spacing w:val="0"/>
      <w:sz w:val="20"/>
    </w:rPr>
  </w:style>
  <w:style w:styleId="Style_76" w:type="paragraph">
    <w:name w:val="xl74"/>
    <w:basedOn w:val="Style_1"/>
    <w:link w:val="Style_7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6_ch" w:type="character">
    <w:name w:val="xl74"/>
    <w:basedOn w:val="Style_1_ch"/>
    <w:link w:val="Style_76"/>
    <w:rPr>
      <w:rFonts w:ascii="Times New Roman" w:hAnsi="Times New Roman"/>
      <w:sz w:val="20"/>
    </w:rPr>
  </w:style>
  <w:style w:styleId="Style_77" w:type="paragraph">
    <w:name w:val="xl87"/>
    <w:basedOn w:val="Style_1"/>
    <w:link w:val="Style_7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7_ch" w:type="character">
    <w:name w:val="xl87"/>
    <w:basedOn w:val="Style_1_ch"/>
    <w:link w:val="Style_77"/>
    <w:rPr>
      <w:rFonts w:ascii="Times New Roman" w:hAnsi="Times New Roman"/>
      <w:sz w:val="20"/>
    </w:rPr>
  </w:style>
  <w:style w:styleId="Style_78" w:type="paragraph">
    <w:name w:val="heading 1"/>
    <w:next w:val="Style_1"/>
    <w:link w:val="Style_78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0"/>
    </w:pPr>
    <w:rPr>
      <w:rFonts w:ascii="Times New Roman CYR" w:hAnsi="Times New Roman CYR"/>
      <w:b w:val="1"/>
      <w:color w:val="26282F"/>
      <w:spacing w:val="0"/>
      <w:sz w:val="24"/>
    </w:rPr>
  </w:style>
  <w:style w:styleId="Style_78_ch" w:type="character">
    <w:name w:val="heading 1"/>
    <w:link w:val="Style_78"/>
    <w:rPr>
      <w:rFonts w:ascii="Times New Roman CYR" w:hAnsi="Times New Roman CYR"/>
      <w:b w:val="1"/>
      <w:color w:val="26282F"/>
      <w:spacing w:val="0"/>
      <w:sz w:val="24"/>
    </w:rPr>
  </w:style>
  <w:style w:styleId="Style_79" w:type="paragraph">
    <w:name w:val="xl107"/>
    <w:basedOn w:val="Style_1"/>
    <w:link w:val="Style_7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9_ch" w:type="character">
    <w:name w:val="xl107"/>
    <w:basedOn w:val="Style_1_ch"/>
    <w:link w:val="Style_79"/>
    <w:rPr>
      <w:rFonts w:ascii="Times New Roman" w:hAnsi="Times New Roman"/>
      <w:sz w:val="20"/>
    </w:rPr>
  </w:style>
  <w:style w:styleId="Style_80" w:type="paragraph">
    <w:name w:val="xl95"/>
    <w:basedOn w:val="Style_1"/>
    <w:link w:val="Style_8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0_ch" w:type="character">
    <w:name w:val="xl95"/>
    <w:basedOn w:val="Style_1_ch"/>
    <w:link w:val="Style_80"/>
    <w:rPr>
      <w:rFonts w:ascii="Times New Roman" w:hAnsi="Times New Roman"/>
      <w:sz w:val="20"/>
    </w:rPr>
  </w:style>
  <w:style w:styleId="Style_81" w:type="paragraph">
    <w:name w:val="Hyperlink"/>
    <w:basedOn w:val="Style_9"/>
    <w:link w:val="Style_81_ch"/>
    <w:rPr>
      <w:color w:themeColor="hyperlink" w:val="0563C1"/>
      <w:u w:val="single"/>
    </w:rPr>
  </w:style>
  <w:style w:styleId="Style_81_ch" w:type="character">
    <w:name w:val="Hyperlink"/>
    <w:basedOn w:val="Style_9_ch"/>
    <w:link w:val="Style_81"/>
    <w:rPr>
      <w:color w:themeColor="hyperlink" w:val="0563C1"/>
      <w:u w:val="single"/>
    </w:rPr>
  </w:style>
  <w:style w:styleId="Style_82" w:type="paragraph">
    <w:name w:val="Footnote"/>
    <w:basedOn w:val="Style_1"/>
    <w:link w:val="Style_82_ch"/>
  </w:style>
  <w:style w:styleId="Style_82_ch" w:type="character">
    <w:name w:val="Footnote"/>
    <w:basedOn w:val="Style_1_ch"/>
    <w:link w:val="Style_82"/>
  </w:style>
  <w:style w:styleId="Style_83" w:type="paragraph">
    <w:name w:val="Contents 3"/>
    <w:link w:val="Style_8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83_ch" w:type="character">
    <w:name w:val="Contents 3"/>
    <w:link w:val="Style_83"/>
    <w:rPr>
      <w:rFonts w:ascii="XO Thames" w:hAnsi="XO Thames"/>
      <w:color w:val="000000"/>
      <w:spacing w:val="0"/>
      <w:sz w:val="28"/>
    </w:rPr>
  </w:style>
  <w:style w:styleId="Style_84" w:type="paragraph">
    <w:name w:val="xl90"/>
    <w:basedOn w:val="Style_1"/>
    <w:link w:val="Style_8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84_ch" w:type="character">
    <w:name w:val="xl90"/>
    <w:basedOn w:val="Style_1_ch"/>
    <w:link w:val="Style_84"/>
    <w:rPr>
      <w:rFonts w:ascii="Times New Roman" w:hAnsi="Times New Roman"/>
      <w:sz w:val="20"/>
    </w:rPr>
  </w:style>
  <w:style w:styleId="Style_85" w:type="paragraph">
    <w:name w:val="Гипертекстовая ссылка"/>
    <w:basedOn w:val="Style_9"/>
    <w:link w:val="Style_85_ch"/>
    <w:rPr>
      <w:color w:val="106BBE"/>
    </w:rPr>
  </w:style>
  <w:style w:styleId="Style_85_ch" w:type="character">
    <w:name w:val="Гипертекстовая ссылка"/>
    <w:basedOn w:val="Style_9_ch"/>
    <w:link w:val="Style_85"/>
    <w:rPr>
      <w:color w:val="106BBE"/>
    </w:rPr>
  </w:style>
  <w:style w:styleId="Style_86" w:type="paragraph">
    <w:name w:val="annotation subject"/>
    <w:basedOn w:val="Style_87"/>
    <w:next w:val="Style_87"/>
    <w:link w:val="Style_86_ch"/>
    <w:rPr>
      <w:b w:val="1"/>
    </w:rPr>
  </w:style>
  <w:style w:styleId="Style_86_ch" w:type="character">
    <w:name w:val="annotation subject"/>
    <w:basedOn w:val="Style_87_ch"/>
    <w:link w:val="Style_86"/>
    <w:rPr>
      <w:b w:val="1"/>
    </w:rPr>
  </w:style>
  <w:style w:styleId="Style_88" w:type="paragraph">
    <w:name w:val="toc 1"/>
    <w:next w:val="Style_1"/>
    <w:link w:val="Style_88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88_ch" w:type="character">
    <w:name w:val="toc 1"/>
    <w:link w:val="Style_88"/>
    <w:rPr>
      <w:rFonts w:ascii="XO Thames" w:hAnsi="XO Thames"/>
      <w:b w:val="1"/>
      <w:color w:val="000000"/>
      <w:spacing w:val="0"/>
      <w:sz w:val="28"/>
    </w:rPr>
  </w:style>
  <w:style w:styleId="Style_9" w:type="paragraph">
    <w:name w:val="Default Paragraph Font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9_ch" w:type="character">
    <w:name w:val="Default Paragraph Font"/>
    <w:link w:val="Style_9"/>
    <w:rPr>
      <w:rFonts w:asciiTheme="minorAscii" w:hAnsiTheme="minorHAnsi"/>
      <w:color w:val="000000"/>
      <w:spacing w:val="0"/>
      <w:sz w:val="22"/>
    </w:rPr>
  </w:style>
  <w:style w:styleId="Style_89" w:type="paragraph">
    <w:name w:val="Internet link"/>
    <w:basedOn w:val="Style_9"/>
    <w:link w:val="Style_89_ch"/>
    <w:rPr>
      <w:color w:themeColor="hyperlink" w:val="0563C1"/>
      <w:u w:val="single"/>
    </w:rPr>
  </w:style>
  <w:style w:styleId="Style_89_ch" w:type="character">
    <w:name w:val="Internet link"/>
    <w:basedOn w:val="Style_9_ch"/>
    <w:link w:val="Style_89"/>
    <w:rPr>
      <w:color w:themeColor="hyperlink" w:val="0563C1"/>
      <w:u w:val="single"/>
    </w:rPr>
  </w:style>
  <w:style w:styleId="Style_87" w:type="paragraph">
    <w:name w:val="annotation text"/>
    <w:basedOn w:val="Style_1"/>
    <w:link w:val="Style_87_ch"/>
    <w:pPr>
      <w:spacing w:line="240" w:lineRule="auto"/>
      <w:ind/>
    </w:pPr>
    <w:rPr>
      <w:sz w:val="20"/>
    </w:rPr>
  </w:style>
  <w:style w:styleId="Style_87_ch" w:type="character">
    <w:name w:val="annotation text"/>
    <w:basedOn w:val="Style_1_ch"/>
    <w:link w:val="Style_87"/>
    <w:rPr>
      <w:sz w:val="20"/>
    </w:rPr>
  </w:style>
  <w:style w:styleId="Style_90" w:type="paragraph">
    <w:name w:val="Header and Footer"/>
    <w:link w:val="Style_90_ch"/>
    <w:rPr>
      <w:rFonts w:ascii="XO Thames" w:hAnsi="XO Thames"/>
      <w:sz w:val="28"/>
    </w:rPr>
  </w:style>
  <w:style w:styleId="Style_90_ch" w:type="character">
    <w:name w:val="Header and Footer"/>
    <w:link w:val="Style_90"/>
    <w:rPr>
      <w:rFonts w:ascii="XO Thames" w:hAnsi="XO Thames"/>
      <w:sz w:val="28"/>
    </w:rPr>
  </w:style>
  <w:style w:styleId="Style_91" w:type="paragraph">
    <w:name w:val="ConsPlusTitlePage"/>
    <w:link w:val="Style_91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0"/>
    </w:rPr>
  </w:style>
  <w:style w:styleId="Style_91_ch" w:type="character">
    <w:name w:val="ConsPlusTitlePage"/>
    <w:link w:val="Style_91"/>
    <w:rPr>
      <w:rFonts w:ascii="Tahoma" w:hAnsi="Tahoma"/>
      <w:color w:val="000000"/>
      <w:spacing w:val="0"/>
      <w:sz w:val="20"/>
    </w:rPr>
  </w:style>
  <w:style w:styleId="Style_92" w:type="paragraph">
    <w:name w:val="xl70"/>
    <w:basedOn w:val="Style_1"/>
    <w:link w:val="Style_9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2_ch" w:type="character">
    <w:name w:val="xl70"/>
    <w:basedOn w:val="Style_1_ch"/>
    <w:link w:val="Style_92"/>
    <w:rPr>
      <w:rFonts w:ascii="Times New Roman" w:hAnsi="Times New Roman"/>
      <w:sz w:val="20"/>
    </w:rPr>
  </w:style>
  <w:style w:styleId="Style_93" w:type="paragraph">
    <w:name w:val="List"/>
    <w:basedOn w:val="Style_53"/>
    <w:link w:val="Style_93_ch"/>
    <w:rPr>
      <w:rFonts w:ascii="PT Astra Serif" w:hAnsi="PT Astra Serif"/>
    </w:rPr>
  </w:style>
  <w:style w:styleId="Style_93_ch" w:type="character">
    <w:name w:val="List"/>
    <w:basedOn w:val="Style_53_ch"/>
    <w:link w:val="Style_93"/>
    <w:rPr>
      <w:rFonts w:ascii="PT Astra Serif" w:hAnsi="PT Astra Serif"/>
    </w:rPr>
  </w:style>
  <w:style w:styleId="Style_94" w:type="paragraph">
    <w:name w:val="xl100"/>
    <w:basedOn w:val="Style_1"/>
    <w:link w:val="Style_9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4_ch" w:type="character">
    <w:name w:val="xl100"/>
    <w:basedOn w:val="Style_1_ch"/>
    <w:link w:val="Style_94"/>
    <w:rPr>
      <w:rFonts w:ascii="Times New Roman" w:hAnsi="Times New Roman"/>
      <w:sz w:val="20"/>
    </w:rPr>
  </w:style>
  <w:style w:styleId="Style_95" w:type="paragraph">
    <w:name w:val="Heading 3"/>
    <w:link w:val="Style_95_ch"/>
    <w:rPr>
      <w:rFonts w:ascii="XO Thames" w:hAnsi="XO Thames"/>
      <w:b w:val="1"/>
      <w:sz w:val="26"/>
    </w:rPr>
  </w:style>
  <w:style w:styleId="Style_95_ch" w:type="character">
    <w:name w:val="Heading 3"/>
    <w:link w:val="Style_95"/>
    <w:rPr>
      <w:rFonts w:ascii="XO Thames" w:hAnsi="XO Thames"/>
      <w:b w:val="1"/>
      <w:sz w:val="26"/>
    </w:rPr>
  </w:style>
  <w:style w:styleId="Style_96" w:type="paragraph">
    <w:name w:val="toc 9"/>
    <w:next w:val="Style_1"/>
    <w:link w:val="Style_96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96_ch" w:type="character">
    <w:name w:val="toc 9"/>
    <w:link w:val="Style_96"/>
    <w:rPr>
      <w:rFonts w:ascii="XO Thames" w:hAnsi="XO Thames"/>
      <w:color w:val="000000"/>
      <w:spacing w:val="0"/>
      <w:sz w:val="28"/>
    </w:rPr>
  </w:style>
  <w:style w:styleId="Style_97" w:type="paragraph">
    <w:name w:val="xl103"/>
    <w:basedOn w:val="Style_1"/>
    <w:link w:val="Style_9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97_ch" w:type="character">
    <w:name w:val="xl103"/>
    <w:basedOn w:val="Style_1_ch"/>
    <w:link w:val="Style_97"/>
    <w:rPr>
      <w:rFonts w:ascii="Times New Roman" w:hAnsi="Times New Roman"/>
      <w:sz w:val="20"/>
    </w:rPr>
  </w:style>
  <w:style w:styleId="Style_98" w:type="paragraph">
    <w:name w:val="Contents 6"/>
    <w:link w:val="Style_9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98_ch" w:type="character">
    <w:name w:val="Contents 6"/>
    <w:link w:val="Style_98"/>
    <w:rPr>
      <w:rFonts w:ascii="XO Thames" w:hAnsi="XO Thames"/>
      <w:color w:val="000000"/>
      <w:spacing w:val="0"/>
      <w:sz w:val="28"/>
    </w:rPr>
  </w:style>
  <w:style w:styleId="Style_99" w:type="paragraph">
    <w:name w:val="Caption"/>
    <w:link w:val="Style_99_ch"/>
    <w:rPr>
      <w:rFonts w:ascii="PT Astra Serif" w:hAnsi="PT Astra Serif"/>
      <w:i w:val="1"/>
      <w:color w:val="000000"/>
      <w:spacing w:val="0"/>
      <w:sz w:val="24"/>
    </w:rPr>
  </w:style>
  <w:style w:styleId="Style_99_ch" w:type="character">
    <w:name w:val="Caption"/>
    <w:link w:val="Style_99"/>
    <w:rPr>
      <w:rFonts w:ascii="PT Astra Serif" w:hAnsi="PT Astra Serif"/>
      <w:i w:val="1"/>
      <w:color w:val="000000"/>
      <w:spacing w:val="0"/>
      <w:sz w:val="24"/>
    </w:rPr>
  </w:style>
  <w:style w:styleId="Style_100" w:type="paragraph">
    <w:name w:val="Нормальный (таблица)"/>
    <w:basedOn w:val="Style_1"/>
    <w:next w:val="Style_1"/>
    <w:link w:val="Style_100_ch"/>
    <w:pPr>
      <w:widowControl w:val="0"/>
      <w:spacing w:after="0" w:before="0" w:line="240" w:lineRule="auto"/>
      <w:ind/>
      <w:jc w:val="both"/>
    </w:pPr>
    <w:rPr>
      <w:rFonts w:ascii="Times New Roman CYR" w:hAnsi="Times New Roman CYR"/>
      <w:sz w:val="24"/>
    </w:rPr>
  </w:style>
  <w:style w:styleId="Style_100_ch" w:type="character">
    <w:name w:val="Нормальный (таблица)"/>
    <w:basedOn w:val="Style_1_ch"/>
    <w:link w:val="Style_100"/>
    <w:rPr>
      <w:rFonts w:ascii="Times New Roman CYR" w:hAnsi="Times New Roman CYR"/>
      <w:sz w:val="24"/>
    </w:rPr>
  </w:style>
  <w:style w:styleId="Style_101" w:type="paragraph">
    <w:name w:val="toc 8"/>
    <w:next w:val="Style_1"/>
    <w:link w:val="Style_101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101_ch" w:type="character">
    <w:name w:val="toc 8"/>
    <w:link w:val="Style_101"/>
    <w:rPr>
      <w:rFonts w:ascii="XO Thames" w:hAnsi="XO Thames"/>
      <w:color w:val="000000"/>
      <w:spacing w:val="0"/>
      <w:sz w:val="28"/>
    </w:rPr>
  </w:style>
  <w:style w:styleId="Style_102" w:type="paragraph">
    <w:name w:val="heading 5"/>
    <w:next w:val="Style_1"/>
    <w:link w:val="Style_102_ch"/>
    <w:pPr>
      <w:widowControl w:val="1"/>
      <w:spacing w:after="0" w:before="0" w:line="240" w:lineRule="auto"/>
      <w:ind w:firstLine="0" w:left="0" w:right="0"/>
      <w:jc w:val="left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102_ch" w:type="character">
    <w:name w:val="heading 5"/>
    <w:link w:val="Style_102"/>
    <w:rPr>
      <w:rFonts w:ascii="XO Thames" w:hAnsi="XO Thames"/>
      <w:b w:val="1"/>
      <w:color w:val="000000"/>
      <w:spacing w:val="0"/>
      <w:sz w:val="22"/>
    </w:rPr>
  </w:style>
  <w:style w:styleId="Style_103" w:type="paragraph">
    <w:name w:val="ConsPlusNormal"/>
    <w:link w:val="Style_103_ch"/>
    <w:pPr>
      <w:widowControl w:val="0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103_ch" w:type="character">
    <w:name w:val="ConsPlusNormal"/>
    <w:link w:val="Style_103"/>
    <w:rPr>
      <w:rFonts w:ascii="Calibri" w:hAnsi="Calibri"/>
      <w:color w:val="000000"/>
      <w:spacing w:val="0"/>
      <w:sz w:val="22"/>
    </w:rPr>
  </w:style>
  <w:style w:styleId="Style_104" w:type="paragraph">
    <w:name w:val="Footnote Symbol"/>
    <w:link w:val="Style_10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  <w:vertAlign w:val="superscript"/>
    </w:rPr>
  </w:style>
  <w:style w:styleId="Style_104_ch" w:type="character">
    <w:name w:val="Footnote Symbol"/>
    <w:link w:val="Style_104"/>
    <w:rPr>
      <w:rFonts w:asciiTheme="minorAscii" w:hAnsiTheme="minorHAnsi"/>
      <w:color w:val="000000"/>
      <w:spacing w:val="0"/>
      <w:sz w:val="22"/>
      <w:vertAlign w:val="superscript"/>
    </w:rPr>
  </w:style>
  <w:style w:styleId="Style_105" w:type="paragraph">
    <w:name w:val="xl89"/>
    <w:basedOn w:val="Style_1"/>
    <w:link w:val="Style_10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05_ch" w:type="character">
    <w:name w:val="xl89"/>
    <w:basedOn w:val="Style_1_ch"/>
    <w:link w:val="Style_105"/>
    <w:rPr>
      <w:rFonts w:ascii="Times New Roman" w:hAnsi="Times New Roman"/>
      <w:sz w:val="20"/>
    </w:rPr>
  </w:style>
  <w:style w:styleId="Style_106" w:type="paragraph">
    <w:name w:val="xl76"/>
    <w:basedOn w:val="Style_1"/>
    <w:link w:val="Style_10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06_ch" w:type="character">
    <w:name w:val="xl76"/>
    <w:basedOn w:val="Style_1_ch"/>
    <w:link w:val="Style_106"/>
    <w:rPr>
      <w:rFonts w:ascii="Times New Roman" w:hAnsi="Times New Roman"/>
      <w:sz w:val="20"/>
    </w:rPr>
  </w:style>
  <w:style w:styleId="Style_107" w:type="paragraph">
    <w:name w:val="xl69"/>
    <w:basedOn w:val="Style_1"/>
    <w:link w:val="Style_10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07_ch" w:type="character">
    <w:name w:val="xl69"/>
    <w:basedOn w:val="Style_1_ch"/>
    <w:link w:val="Style_107"/>
    <w:rPr>
      <w:rFonts w:ascii="Times New Roman" w:hAnsi="Times New Roman"/>
      <w:sz w:val="20"/>
    </w:rPr>
  </w:style>
  <w:style w:styleId="Style_108" w:type="paragraph">
    <w:name w:val="xl108"/>
    <w:basedOn w:val="Style_1"/>
    <w:link w:val="Style_10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08_ch" w:type="character">
    <w:name w:val="xl108"/>
    <w:basedOn w:val="Style_1_ch"/>
    <w:link w:val="Style_108"/>
    <w:rPr>
      <w:rFonts w:ascii="Times New Roman" w:hAnsi="Times New Roman"/>
      <w:sz w:val="20"/>
    </w:rPr>
  </w:style>
  <w:style w:styleId="Style_109" w:type="paragraph">
    <w:name w:val="Текст сноски Знак"/>
    <w:basedOn w:val="Style_9"/>
    <w:link w:val="Style_109_ch"/>
    <w:rPr>
      <w:sz w:val="20"/>
    </w:rPr>
  </w:style>
  <w:style w:styleId="Style_109_ch" w:type="character">
    <w:name w:val="Текст сноски Знак"/>
    <w:basedOn w:val="Style_9_ch"/>
    <w:link w:val="Style_109"/>
    <w:rPr>
      <w:sz w:val="20"/>
    </w:rPr>
  </w:style>
  <w:style w:styleId="Style_110" w:type="paragraph">
    <w:name w:val="Заголовок"/>
    <w:basedOn w:val="Style_1"/>
    <w:next w:val="Style_111"/>
    <w:link w:val="Style_110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10_ch" w:type="character">
    <w:name w:val="Заголовок"/>
    <w:basedOn w:val="Style_1_ch"/>
    <w:link w:val="Style_110"/>
    <w:rPr>
      <w:rFonts w:ascii="PT Astra Serif" w:hAnsi="PT Astra Serif"/>
      <w:sz w:val="28"/>
    </w:rPr>
  </w:style>
  <w:style w:styleId="Style_112" w:type="paragraph">
    <w:name w:val="toc 5"/>
    <w:next w:val="Style_1"/>
    <w:link w:val="Style_112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112_ch" w:type="character">
    <w:name w:val="toc 5"/>
    <w:link w:val="Style_112"/>
    <w:rPr>
      <w:rFonts w:ascii="XO Thames" w:hAnsi="XO Thames"/>
      <w:color w:val="000000"/>
      <w:spacing w:val="0"/>
      <w:sz w:val="28"/>
    </w:rPr>
  </w:style>
  <w:style w:styleId="Style_113" w:type="paragraph">
    <w:name w:val="Contents 7"/>
    <w:link w:val="Style_11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13_ch" w:type="character">
    <w:name w:val="Contents 7"/>
    <w:link w:val="Style_113"/>
    <w:rPr>
      <w:rFonts w:ascii="XO Thames" w:hAnsi="XO Thames"/>
      <w:color w:val="000000"/>
      <w:spacing w:val="0"/>
      <w:sz w:val="28"/>
    </w:rPr>
  </w:style>
  <w:style w:styleId="Style_111" w:type="paragraph">
    <w:name w:val="Body Text"/>
    <w:basedOn w:val="Style_1"/>
    <w:link w:val="Style_111_ch"/>
    <w:pPr>
      <w:spacing w:after="140" w:before="0" w:line="276" w:lineRule="auto"/>
      <w:ind/>
    </w:pPr>
  </w:style>
  <w:style w:styleId="Style_111_ch" w:type="character">
    <w:name w:val="Body Text"/>
    <w:basedOn w:val="Style_1_ch"/>
    <w:link w:val="Style_111"/>
  </w:style>
  <w:style w:styleId="Style_114" w:type="paragraph">
    <w:name w:val="Title"/>
    <w:link w:val="Style_114_ch"/>
    <w:rPr>
      <w:rFonts w:ascii="XO Thames" w:hAnsi="XO Thames"/>
      <w:b w:val="1"/>
      <w:caps w:val="1"/>
      <w:sz w:val="40"/>
    </w:rPr>
  </w:style>
  <w:style w:styleId="Style_114_ch" w:type="character">
    <w:name w:val="Title"/>
    <w:link w:val="Style_114"/>
    <w:rPr>
      <w:rFonts w:ascii="XO Thames" w:hAnsi="XO Thames"/>
      <w:b w:val="1"/>
      <w:caps w:val="1"/>
      <w:sz w:val="40"/>
    </w:rPr>
  </w:style>
  <w:style w:styleId="Style_115" w:type="paragraph">
    <w:name w:val="xl82"/>
    <w:basedOn w:val="Style_1"/>
    <w:link w:val="Style_115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115_ch" w:type="character">
    <w:name w:val="xl82"/>
    <w:basedOn w:val="Style_1_ch"/>
    <w:link w:val="Style_115"/>
    <w:rPr>
      <w:rFonts w:ascii="Times New Roman" w:hAnsi="Times New Roman"/>
      <w:sz w:val="20"/>
    </w:rPr>
  </w:style>
  <w:style w:styleId="Style_116" w:type="paragraph">
    <w:name w:val="Заголовок таблицы"/>
    <w:basedOn w:val="Style_44"/>
    <w:link w:val="Style_116_ch"/>
    <w:pPr>
      <w:ind/>
      <w:jc w:val="center"/>
    </w:pPr>
    <w:rPr>
      <w:b w:val="1"/>
    </w:rPr>
  </w:style>
  <w:style w:styleId="Style_116_ch" w:type="character">
    <w:name w:val="Заголовок таблицы"/>
    <w:basedOn w:val="Style_44_ch"/>
    <w:link w:val="Style_116"/>
    <w:rPr>
      <w:b w:val="1"/>
    </w:rPr>
  </w:style>
  <w:style w:styleId="Style_117" w:type="paragraph">
    <w:name w:val="Subtitle"/>
    <w:next w:val="Style_1"/>
    <w:link w:val="Style_117_ch"/>
    <w:uiPriority w:val="11"/>
    <w:qFormat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i w:val="1"/>
      <w:color w:val="000000"/>
      <w:spacing w:val="0"/>
      <w:sz w:val="24"/>
    </w:rPr>
  </w:style>
  <w:style w:styleId="Style_117_ch" w:type="character">
    <w:name w:val="Subtitle"/>
    <w:link w:val="Style_117"/>
    <w:rPr>
      <w:rFonts w:ascii="XO Thames" w:hAnsi="XO Thames"/>
      <w:i w:val="1"/>
      <w:color w:val="000000"/>
      <w:spacing w:val="0"/>
      <w:sz w:val="24"/>
    </w:rPr>
  </w:style>
  <w:style w:styleId="Style_118" w:type="paragraph">
    <w:name w:val="Subtitle"/>
    <w:link w:val="Style_118_ch"/>
    <w:rPr>
      <w:rFonts w:ascii="XO Thames" w:hAnsi="XO Thames"/>
      <w:i w:val="1"/>
      <w:sz w:val="24"/>
    </w:rPr>
  </w:style>
  <w:style w:styleId="Style_118_ch" w:type="character">
    <w:name w:val="Subtitle"/>
    <w:link w:val="Style_118"/>
    <w:rPr>
      <w:rFonts w:ascii="XO Thames" w:hAnsi="XO Thames"/>
      <w:i w:val="1"/>
      <w:sz w:val="24"/>
    </w:rPr>
  </w:style>
  <w:style w:styleId="Style_119" w:type="paragraph">
    <w:name w:val="Цветовое выделение"/>
    <w:link w:val="Style_119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b w:val="1"/>
      <w:color w:val="26282F"/>
      <w:spacing w:val="0"/>
      <w:sz w:val="22"/>
    </w:rPr>
  </w:style>
  <w:style w:styleId="Style_119_ch" w:type="character">
    <w:name w:val="Цветовое выделение"/>
    <w:link w:val="Style_119"/>
    <w:rPr>
      <w:rFonts w:ascii="Calibri" w:hAnsi="Calibri"/>
      <w:b w:val="1"/>
      <w:color w:val="26282F"/>
      <w:spacing w:val="0"/>
      <w:sz w:val="22"/>
    </w:rPr>
  </w:style>
  <w:style w:styleId="Style_120" w:type="paragraph">
    <w:name w:val="Title"/>
    <w:next w:val="Style_1"/>
    <w:link w:val="Style_120_ch"/>
    <w:uiPriority w:val="10"/>
    <w:qFormat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aps w:val="1"/>
      <w:color w:val="000000"/>
      <w:spacing w:val="0"/>
      <w:sz w:val="40"/>
    </w:rPr>
  </w:style>
  <w:style w:styleId="Style_120_ch" w:type="character">
    <w:name w:val="Title"/>
    <w:link w:val="Style_120"/>
    <w:rPr>
      <w:rFonts w:ascii="XO Thames" w:hAnsi="XO Thames"/>
      <w:b w:val="1"/>
      <w:caps w:val="1"/>
      <w:color w:val="000000"/>
      <w:spacing w:val="0"/>
      <w:sz w:val="40"/>
    </w:rPr>
  </w:style>
  <w:style w:styleId="Style_121" w:type="paragraph">
    <w:name w:val="ConsPlusCell"/>
    <w:link w:val="Style_121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121_ch" w:type="character">
    <w:name w:val="ConsPlusCell"/>
    <w:link w:val="Style_121"/>
    <w:rPr>
      <w:rFonts w:ascii="Courier New" w:hAnsi="Courier New"/>
      <w:color w:val="000000"/>
      <w:spacing w:val="0"/>
      <w:sz w:val="20"/>
    </w:rPr>
  </w:style>
  <w:style w:styleId="Style_122" w:type="paragraph">
    <w:name w:val="heading 4"/>
    <w:next w:val="Style_1"/>
    <w:link w:val="Style_122_ch"/>
    <w:uiPriority w:val="9"/>
    <w:qFormat/>
    <w:pPr>
      <w:widowControl w:val="1"/>
      <w:spacing w:after="0" w:before="0" w:line="240" w:lineRule="auto"/>
      <w:ind w:firstLine="0" w:left="0" w:right="0"/>
      <w:jc w:val="left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22_ch" w:type="character">
    <w:name w:val="heading 4"/>
    <w:link w:val="Style_122"/>
    <w:rPr>
      <w:rFonts w:ascii="XO Thames" w:hAnsi="XO Thames"/>
      <w:b w:val="1"/>
      <w:color w:val="000000"/>
      <w:spacing w:val="0"/>
      <w:sz w:val="24"/>
    </w:rPr>
  </w:style>
  <w:style w:styleId="Style_123" w:type="paragraph">
    <w:name w:val="Колонтитул"/>
    <w:link w:val="Style_123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23_ch" w:type="character">
    <w:name w:val="Колонтитул"/>
    <w:link w:val="Style_123"/>
    <w:rPr>
      <w:rFonts w:ascii="XO Thames" w:hAnsi="XO Thames"/>
      <w:color w:val="000000"/>
      <w:spacing w:val="0"/>
      <w:sz w:val="28"/>
    </w:rPr>
  </w:style>
  <w:style w:styleId="Style_124" w:type="paragraph">
    <w:name w:val="xl94"/>
    <w:basedOn w:val="Style_1"/>
    <w:link w:val="Style_12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24_ch" w:type="character">
    <w:name w:val="xl94"/>
    <w:basedOn w:val="Style_1_ch"/>
    <w:link w:val="Style_124"/>
    <w:rPr>
      <w:rFonts w:ascii="Times New Roman" w:hAnsi="Times New Roman"/>
      <w:sz w:val="20"/>
    </w:rPr>
  </w:style>
  <w:style w:styleId="Style_125" w:type="paragraph">
    <w:name w:val="heading 4"/>
    <w:link w:val="Style_125_ch"/>
    <w:pPr>
      <w:ind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25_ch" w:type="character">
    <w:name w:val="heading 4"/>
    <w:link w:val="Style_125"/>
    <w:rPr>
      <w:rFonts w:ascii="XO Thames" w:hAnsi="XO Thames"/>
      <w:b w:val="1"/>
      <w:color w:val="000000"/>
      <w:spacing w:val="0"/>
      <w:sz w:val="24"/>
    </w:rPr>
  </w:style>
  <w:style w:styleId="Style_126" w:type="paragraph">
    <w:name w:val="Символ концевой сноски"/>
    <w:link w:val="Style_126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26_ch" w:type="character">
    <w:name w:val="Символ концевой сноски"/>
    <w:link w:val="Style_126"/>
    <w:rPr>
      <w:rFonts w:asciiTheme="minorAscii" w:hAnsiTheme="minorHAnsi"/>
      <w:color w:val="000000"/>
      <w:spacing w:val="0"/>
      <w:sz w:val="22"/>
    </w:rPr>
  </w:style>
  <w:style w:styleId="Style_127" w:type="paragraph">
    <w:name w:val="heading 2"/>
    <w:link w:val="Style_127_ch"/>
    <w:uiPriority w:val="9"/>
    <w:qFormat/>
    <w:pPr>
      <w:ind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27_ch" w:type="character">
    <w:name w:val="heading 2"/>
    <w:link w:val="Style_127"/>
    <w:rPr>
      <w:rFonts w:ascii="XO Thames" w:hAnsi="XO Thames"/>
      <w:b w:val="1"/>
      <w:color w:val="000000"/>
      <w:spacing w:val="0"/>
      <w:sz w:val="28"/>
    </w:rPr>
  </w:style>
  <w:style w:styleId="Style_128" w:type="paragraph">
    <w:name w:val="xl68"/>
    <w:basedOn w:val="Style_1"/>
    <w:link w:val="Style_12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28_ch" w:type="character">
    <w:name w:val="xl68"/>
    <w:basedOn w:val="Style_1_ch"/>
    <w:link w:val="Style_128"/>
    <w:rPr>
      <w:rFonts w:ascii="Times New Roman" w:hAnsi="Times New Roman"/>
      <w:sz w:val="24"/>
    </w:rPr>
  </w:style>
  <w:style w:styleId="Style_129" w:type="paragraph">
    <w:name w:val="xl72"/>
    <w:basedOn w:val="Style_1"/>
    <w:link w:val="Style_12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29_ch" w:type="character">
    <w:name w:val="xl72"/>
    <w:basedOn w:val="Style_1_ch"/>
    <w:link w:val="Style_129"/>
    <w:rPr>
      <w:rFonts w:ascii="Times New Roman" w:hAnsi="Times New Roman"/>
      <w:sz w:val="20"/>
    </w:rPr>
  </w:style>
  <w:style w:styleId="Style_130" w:type="paragraph">
    <w:name w:val="xl85"/>
    <w:basedOn w:val="Style_1"/>
    <w:link w:val="Style_13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30_ch" w:type="character">
    <w:name w:val="xl85"/>
    <w:basedOn w:val="Style_1_ch"/>
    <w:link w:val="Style_130"/>
    <w:rPr>
      <w:rFonts w:ascii="Times New Roman" w:hAnsi="Times New Roman"/>
      <w:sz w:val="20"/>
    </w:rPr>
  </w:style>
  <w:style w:styleId="Style_131" w:type="paragraph">
    <w:name w:val="Footer"/>
    <w:link w:val="Style_131_ch"/>
    <w:rPr>
      <w:rFonts w:asciiTheme="minorAscii" w:hAnsiTheme="minorHAnsi"/>
      <w:color w:val="000000"/>
      <w:spacing w:val="0"/>
      <w:sz w:val="22"/>
    </w:rPr>
  </w:style>
  <w:style w:styleId="Style_131_ch" w:type="character">
    <w:name w:val="Footer"/>
    <w:link w:val="Style_131"/>
    <w:rPr>
      <w:rFonts w:asciiTheme="minorAscii" w:hAnsiTheme="minorHAnsi"/>
      <w:color w:val="000000"/>
      <w:spacing w:val="0"/>
      <w:sz w:val="22"/>
    </w:rPr>
  </w:style>
  <w:style w:styleId="Style_132" w:type="paragraph">
    <w:name w:val="Endnote Reference"/>
    <w:link w:val="Style_132_ch"/>
    <w:rPr>
      <w:vertAlign w:val="superscript"/>
    </w:rPr>
  </w:style>
  <w:style w:styleId="Style_132_ch" w:type="character">
    <w:name w:val="Endnote Reference"/>
    <w:link w:val="Style_132"/>
    <w:rPr>
      <w:vertAlign w:val="superscript"/>
    </w:rPr>
  </w:style>
  <w:style w:styleId="Style_133" w:type="paragraph">
    <w:name w:val="heading 2"/>
    <w:next w:val="Style_1"/>
    <w:link w:val="Style_133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33_ch" w:type="character">
    <w:name w:val="heading 2"/>
    <w:link w:val="Style_133"/>
    <w:rPr>
      <w:rFonts w:ascii="XO Thames" w:hAnsi="XO Thames"/>
      <w:b w:val="1"/>
      <w:color w:val="000000"/>
      <w:spacing w:val="0"/>
      <w:sz w:val="28"/>
    </w:rPr>
  </w:style>
  <w:style w:styleId="Style_134" w:type="table">
    <w:name w:val="Сетка таблицы3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Сетка таблицы1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35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136" w:type="table">
    <w:name w:val="Сетка таблицы2"/>
    <w:basedOn w:val="Style_2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footnotes.xml" Type="http://schemas.openxmlformats.org/officeDocument/2006/relationships/footnotes"/>
  <Relationship Id="rId4" Target="styles.xml" Type="http://schemas.openxmlformats.org/officeDocument/2006/relationships/styles"/>
  <Relationship Id="rId9" Target="endnotes.xml" Type="http://schemas.openxmlformats.org/officeDocument/2006/relationships/endnot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2025-05-21T08:37:12Z</dcterms:modified>
</cp:coreProperties>
</file>