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line="240" w:lineRule="auto"/>
        <w:ind w:firstLine="0" w:left="10772"/>
        <w:jc w:val="left"/>
        <w:rPr>
          <w:rStyle w:val="Style_1_ch"/>
          <w:rFonts w:ascii="PT Astra Serif" w:hAnsi="PT Astra Serif"/>
          <w:b w:val="0"/>
          <w:color w:val="000000"/>
          <w:sz w:val="24"/>
        </w:rPr>
      </w:pPr>
      <w:r>
        <w:rPr>
          <w:rStyle w:val="Style_1_ch"/>
          <w:rFonts w:ascii="PT Astra Serif" w:hAnsi="PT Astra Serif"/>
          <w:b w:val="0"/>
          <w:color w:val="000000"/>
          <w:sz w:val="24"/>
        </w:rPr>
        <w:t>Приложение</w:t>
      </w:r>
    </w:p>
    <w:p w14:paraId="02000000">
      <w:pPr>
        <w:pStyle w:val="Style_1"/>
        <w:spacing w:after="0" w:line="240" w:lineRule="auto"/>
        <w:ind w:firstLine="0" w:left="10772"/>
        <w:jc w:val="left"/>
        <w:rPr>
          <w:rStyle w:val="Style_1_ch"/>
          <w:rFonts w:ascii="PT Astra Serif" w:hAnsi="PT Astra Serif"/>
          <w:b w:val="0"/>
          <w:color w:val="000000"/>
          <w:sz w:val="24"/>
        </w:rPr>
      </w:pPr>
      <w:r>
        <w:rPr>
          <w:rStyle w:val="Style_1_ch"/>
          <w:rFonts w:ascii="PT Astra Serif" w:hAnsi="PT Astra Serif"/>
          <w:b w:val="0"/>
          <w:color w:val="000000"/>
          <w:sz w:val="24"/>
        </w:rPr>
        <w:t>к постановлению администрации</w:t>
      </w:r>
    </w:p>
    <w:p w14:paraId="03000000">
      <w:pPr>
        <w:pStyle w:val="Style_1"/>
        <w:spacing w:after="0" w:line="240" w:lineRule="auto"/>
        <w:ind w:firstLine="0" w:left="10772"/>
        <w:jc w:val="left"/>
        <w:rPr>
          <w:rStyle w:val="Style_1_ch"/>
          <w:rFonts w:ascii="PT Astra Serif" w:hAnsi="PT Astra Serif"/>
          <w:b w:val="0"/>
          <w:color w:val="000000"/>
          <w:sz w:val="24"/>
        </w:rPr>
      </w:pPr>
      <w:r>
        <w:rPr>
          <w:rStyle w:val="Style_1_ch"/>
          <w:rFonts w:ascii="PT Astra Serif" w:hAnsi="PT Astra Serif"/>
          <w:b w:val="0"/>
          <w:color w:val="000000"/>
          <w:sz w:val="24"/>
        </w:rPr>
        <w:t xml:space="preserve">города Магнитогорска </w:t>
      </w:r>
    </w:p>
    <w:p w14:paraId="04000000">
      <w:pPr>
        <w:pStyle w:val="Style_1"/>
        <w:spacing w:after="0" w:line="240" w:lineRule="auto"/>
        <w:ind w:firstLine="0" w:left="10772"/>
        <w:jc w:val="left"/>
        <w:rPr>
          <w:rStyle w:val="Style_1_ch"/>
          <w:rFonts w:ascii="PT Astra Serif" w:hAnsi="PT Astra Serif"/>
          <w:b w:val="0"/>
          <w:color w:val="000000"/>
          <w:sz w:val="24"/>
        </w:rPr>
      </w:pPr>
      <w:r>
        <w:rPr>
          <w:rStyle w:val="Style_1_ch"/>
          <w:rFonts w:ascii="PT Astra Serif" w:hAnsi="PT Astra Serif"/>
          <w:b w:val="0"/>
          <w:color w:val="000000"/>
          <w:sz w:val="24"/>
        </w:rPr>
        <w:t>от 14.05.2025 № 4187-П</w:t>
      </w:r>
    </w:p>
    <w:p w14:paraId="05000000">
      <w:pPr>
        <w:pStyle w:val="Style_1"/>
        <w:spacing w:after="0" w:line="240" w:lineRule="auto"/>
        <w:ind w:firstLine="0" w:left="10772"/>
        <w:jc w:val="left"/>
        <w:rPr>
          <w:rStyle w:val="Style_1_ch"/>
          <w:rFonts w:ascii="PT Astra Serif" w:hAnsi="PT Astra Serif"/>
          <w:b w:val="0"/>
          <w:color w:val="000000"/>
          <w:sz w:val="24"/>
        </w:rPr>
      </w:pPr>
    </w:p>
    <w:p w14:paraId="06000000">
      <w:pPr>
        <w:pStyle w:val="Style_1"/>
        <w:spacing w:after="0" w:line="240" w:lineRule="auto"/>
        <w:ind w:firstLine="0" w:left="10772"/>
        <w:jc w:val="left"/>
        <w:rPr>
          <w:rStyle w:val="Style_1_ch"/>
          <w:rFonts w:ascii="PT Astra Serif" w:hAnsi="PT Astra Serif"/>
          <w:b w:val="0"/>
          <w:color w:val="000000"/>
          <w:sz w:val="24"/>
        </w:rPr>
      </w:pPr>
    </w:p>
    <w:p w14:paraId="07000000">
      <w:pPr>
        <w:pStyle w:val="Style_1"/>
        <w:spacing w:after="0" w:line="240" w:lineRule="auto"/>
        <w:ind/>
        <w:rPr>
          <w:rStyle w:val="Style_1_ch"/>
          <w:rFonts w:ascii="PT Astra Serif" w:hAnsi="PT Astra Serif"/>
          <w:b w:val="0"/>
          <w:color w:val="000000"/>
          <w:sz w:val="24"/>
        </w:rPr>
      </w:pPr>
      <w:r>
        <w:rPr>
          <w:rStyle w:val="Style_1_ch"/>
          <w:rFonts w:ascii="PT Astra Serif" w:hAnsi="PT Astra Serif"/>
          <w:b w:val="0"/>
          <w:color w:val="000000"/>
          <w:sz w:val="24"/>
        </w:rPr>
        <w:t xml:space="preserve">План подготовки </w:t>
      </w:r>
    </w:p>
    <w:p w14:paraId="08000000">
      <w:pPr>
        <w:pStyle w:val="Style_1"/>
        <w:spacing w:after="0" w:line="240" w:lineRule="auto"/>
        <w:ind/>
        <w:rPr>
          <w:rStyle w:val="Style_1_ch"/>
          <w:rFonts w:ascii="PT Astra Serif" w:hAnsi="PT Astra Serif"/>
          <w:b w:val="0"/>
          <w:color w:val="000000"/>
          <w:sz w:val="24"/>
        </w:rPr>
      </w:pPr>
      <w:r>
        <w:rPr>
          <w:rStyle w:val="Style_1_ch"/>
          <w:rFonts w:ascii="PT Astra Serif" w:hAnsi="PT Astra Serif"/>
          <w:b w:val="0"/>
          <w:color w:val="000000"/>
          <w:sz w:val="24"/>
        </w:rPr>
        <w:t>города Магнитогорска</w:t>
      </w:r>
      <w:r>
        <w:rPr>
          <w:rStyle w:val="Style_1_ch"/>
          <w:rFonts w:ascii="PT Astra Serif" w:hAnsi="PT Astra Serif"/>
          <w:b w:val="0"/>
          <w:color w:val="000000"/>
          <w:sz w:val="24"/>
        </w:rPr>
        <w:t xml:space="preserve"> </w:t>
      </w:r>
    </w:p>
    <w:p w14:paraId="09000000">
      <w:pPr>
        <w:pStyle w:val="Style_1"/>
        <w:spacing w:after="0" w:line="240" w:lineRule="auto"/>
        <w:ind/>
        <w:rPr>
          <w:rStyle w:val="Style_1_ch"/>
          <w:rFonts w:ascii="PT Astra Serif" w:hAnsi="PT Astra Serif"/>
          <w:b w:val="0"/>
          <w:color w:val="000000"/>
          <w:sz w:val="24"/>
        </w:rPr>
      </w:pPr>
      <w:r>
        <w:rPr>
          <w:rStyle w:val="Style_1_ch"/>
          <w:rFonts w:ascii="PT Astra Serif" w:hAnsi="PT Astra Serif"/>
          <w:b w:val="0"/>
          <w:color w:val="000000"/>
          <w:sz w:val="24"/>
        </w:rPr>
        <w:t>к отопительному периоду 2025-2026 годов</w:t>
      </w:r>
    </w:p>
    <w:p w14:paraId="0A000000">
      <w:pPr>
        <w:pStyle w:val="Style_1"/>
        <w:spacing w:after="0" w:line="240" w:lineRule="auto"/>
        <w:ind/>
        <w:rPr>
          <w:rStyle w:val="Style_1_ch"/>
          <w:rFonts w:ascii="PT Astra Serif" w:hAnsi="PT Astra Serif"/>
          <w:b w:val="0"/>
          <w:color w:val="000000"/>
          <w:sz w:val="24"/>
        </w:rPr>
      </w:pPr>
    </w:p>
    <w:tbl>
      <w:tblPr>
        <w:tblStyle w:val="Style_2"/>
        <w:tblW w:type="auto" w:w="0"/>
        <w:jc w:val="left"/>
        <w:tblInd w:type="dxa" w:w="0"/>
        <w:tblLayout w:type="fixed"/>
      </w:tblPr>
      <w:tblGrid>
        <w:gridCol w:w="880"/>
        <w:gridCol w:w="4530"/>
        <w:gridCol w:w="200"/>
        <w:gridCol w:w="1750"/>
        <w:gridCol w:w="1701"/>
        <w:gridCol w:w="1809"/>
        <w:gridCol w:w="3613"/>
      </w:tblGrid>
      <w:tr>
        <w:trPr>
          <w:trHeight w:hRule="atLeast" w:val="861"/>
        </w:trP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№</w:t>
            </w:r>
          </w:p>
          <w:p w14:paraId="0C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 п/п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Организационно-технические мероприятия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ab/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Ответственный за выполнение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Срок выполнения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ab/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Примечание</w:t>
            </w:r>
          </w:p>
        </w:tc>
      </w:tr>
      <w:t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1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.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Разработка, утверждение и согласование </w:t>
            </w:r>
            <w:r>
              <w:rPr>
                <w:rFonts w:ascii="PT Astra Serif" w:hAnsi="PT Astra Serif"/>
                <w:b w:val="0"/>
                <w:sz w:val="24"/>
              </w:rPr>
              <w:t>плана действий по ликвидации последствий аварийных ситуаций в сфере теплоснабжения в городе Магнитогорске (в том числе с применением электронного моделирования аварийных ситуаций)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 </w:t>
            </w:r>
          </w:p>
          <w:p w14:paraId="13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(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п.3 ст.20 190-ФЗ от 27.07.2010 «О теплоснабжении»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)</w:t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4000000">
            <w:pPr>
              <w:spacing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 администрации города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до 01.04.2025г.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 (в последующих периодах утверждается до 15 февраля)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План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подлежит ежегодной </w:t>
            </w:r>
            <w:bookmarkStart w:id="1" w:name="_GoBack"/>
            <w:bookmarkEnd w:id="1"/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актуализации, утверждается постановлением города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Магнитогорска,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 согласуется </w:t>
            </w:r>
            <w:r>
              <w:rPr>
                <w:rFonts w:ascii="PT Astra Serif" w:hAnsi="PT Astra Serif"/>
                <w:b w:val="0"/>
                <w:sz w:val="24"/>
              </w:rPr>
              <w:t xml:space="preserve">с органами </w:t>
            </w:r>
            <w:r>
              <w:rPr>
                <w:rFonts w:ascii="PT Astra Serif" w:hAnsi="PT Astra Serif"/>
                <w:b w:val="0"/>
                <w:sz w:val="24"/>
              </w:rPr>
              <w:t>государственной власти субъекта Российской Федерации (</w:t>
            </w:r>
            <w:r>
              <w:rPr>
                <w:rFonts w:ascii="PT Astra Serif" w:hAnsi="PT Astra Serif"/>
                <w:b w:val="0"/>
                <w:sz w:val="24"/>
              </w:rPr>
              <w:t xml:space="preserve">Министерство жилищно-коммунального хозяйства Челябинской </w:t>
            </w:r>
            <w:r>
              <w:rPr>
                <w:rFonts w:ascii="PT Astra Serif" w:hAnsi="PT Astra Serif"/>
                <w:b w:val="0"/>
                <w:sz w:val="24"/>
              </w:rPr>
              <w:t xml:space="preserve">области, Министерство тарифного регулирования и энергетики Челябинской </w:t>
            </w:r>
            <w:r>
              <w:rPr>
                <w:rFonts w:ascii="PT Astra Serif" w:hAnsi="PT Astra Serif"/>
                <w:b w:val="0"/>
                <w:sz w:val="24"/>
              </w:rPr>
              <w:t>области, Министерство общественной безопасности Челябинской области) - в</w:t>
            </w:r>
            <w:r>
              <w:rPr>
                <w:rFonts w:ascii="PT Astra Serif" w:hAnsi="PT Astra Serif"/>
                <w:b w:val="0"/>
                <w:sz w:val="24"/>
              </w:rPr>
              <w:t xml:space="preserve"> соответствии с частью 3 статьи 20 Федерального закона от 27.07.2010 г.</w:t>
            </w:r>
          </w:p>
          <w:p w14:paraId="17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№ 190-ФЗ «О теплоснабжении»</w:t>
            </w:r>
          </w:p>
        </w:tc>
      </w:tr>
      <w:t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2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.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Разработка/утверждение актуализированной схемы теплоснабжения города Магнитогорска</w:t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spacing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 администрации города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ежегодно до 01.07.2025г.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Схема теплоснабжения города Магнитогорска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подлежит ежегодной актуализации.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 </w:t>
            </w:r>
            <w:r>
              <w:rPr>
                <w:rFonts w:ascii="PT Astra Serif" w:hAnsi="PT Astra Serif"/>
                <w:b w:val="0"/>
                <w:sz w:val="24"/>
              </w:rPr>
              <w:t>Согласно пункту 38 «Требований к порядку разработки и утверждения схем теплоснабжения», утверждённых постановлением Правительства Российской Федерации №154, схема теплоснабжения должна быть утверждена не позднее 1 июля года, предшествующего году, на который актуализируется схема теплоснабжения.</w:t>
            </w:r>
          </w:p>
        </w:tc>
      </w:tr>
      <w:t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3.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Подготовка проекта постановления  администрации города Магнитогорска  «О подготовке объектов жилищно-коммунального хозяйства, энергетики и социальной сферы города Магнитогорска к работе в отопительный период 2025-2026 годов»</w:t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spacing w:after="0"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 администрации города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 до 31.05.2025г.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Постановление издается на основании распоряжения Губернатора Челябинской области от 05.05.2025г. №554-р в целях своевременной подготовки объектов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жилищно-коммунального хозяйства, энергетики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и социальной сферы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к работе в отопительный период 2025-2026 годов.</w:t>
            </w:r>
          </w:p>
        </w:tc>
      </w:tr>
      <w:t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4.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Создание и утверждение комиссии по оценки обеспечения  готовности к отопительному периоду 2025-2026 годов теплоснабжающих организаций, теплосетевых организаций, потребителей тепловых энергии</w:t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spacing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до 31.05.2025г.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Утверждается постановлением города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Магнитогорска, в состав комиссии (по согласованию) привлекаются представители </w:t>
            </w:r>
            <w:r>
              <w:rPr>
                <w:rFonts w:ascii="PT Astra Serif" w:hAnsi="PT Astra Serif"/>
                <w:b w:val="0"/>
                <w:sz w:val="24"/>
              </w:rPr>
              <w:t>Уральского управления Федеральной службы по экологическому, технологическому и атомному надзору, должностных лиц подразделений федеральных органов исполнительной власти в сфере обороны, обеспечения безопасности, государственной охраны (в случае если снабжение тепловой энергией населения, социально значимых категорий потребителей осуществляется с использованием подведомственных объектов теплоснабжения), Главного управления «Государственная жилищная инспекция Челябинской области», представителей газораспределительных организаций, осуществляющих аварийно-диспетчерское обеспечение внутридомового и (или) внутриквартирного газового оборудования в многоквартирных домах.</w:t>
            </w:r>
          </w:p>
          <w:p w14:paraId="27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(п.п.6 п.1 </w:t>
            </w: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распоряжения Губернатора Челябинской области от 05.05.2025г. №554-р)</w:t>
            </w:r>
          </w:p>
        </w:tc>
      </w:tr>
      <w:t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5.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00000">
            <w:pPr>
              <w:spacing w:line="240" w:lineRule="auto"/>
              <w:ind w:firstLine="0" w:left="0"/>
              <w:jc w:val="both"/>
              <w:outlineLvl w:val="0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Составление программы проведения проверки готовности потребителей тепловой энер</w:t>
            </w:r>
            <w:r>
              <w:rPr>
                <w:rFonts w:ascii="PT Astra Serif" w:hAnsi="PT Astra Serif"/>
                <w:b w:val="0"/>
                <w:sz w:val="24"/>
              </w:rPr>
              <w:t xml:space="preserve">гии к </w:t>
            </w:r>
            <w:r>
              <w:rPr>
                <w:rFonts w:ascii="PT Astra Serif" w:hAnsi="PT Astra Serif"/>
                <w:b w:val="0"/>
                <w:sz w:val="24"/>
              </w:rPr>
              <w:t>отопительному периоду 202</w:t>
            </w:r>
            <w:r>
              <w:rPr>
                <w:rFonts w:ascii="PT Astra Serif" w:hAnsi="PT Astra Serif"/>
                <w:b w:val="0"/>
                <w:sz w:val="24"/>
              </w:rPr>
              <w:t>4</w:t>
            </w:r>
            <w:r>
              <w:rPr>
                <w:rFonts w:ascii="PT Astra Serif" w:hAnsi="PT Astra Serif"/>
                <w:b w:val="0"/>
                <w:sz w:val="24"/>
              </w:rPr>
              <w:t>-202</w:t>
            </w:r>
            <w:r>
              <w:rPr>
                <w:rFonts w:ascii="PT Astra Serif" w:hAnsi="PT Astra Serif"/>
                <w:b w:val="0"/>
                <w:sz w:val="24"/>
              </w:rPr>
              <w:t>5</w:t>
            </w:r>
            <w:r>
              <w:rPr>
                <w:rFonts w:ascii="PT Astra Serif" w:hAnsi="PT Astra Serif"/>
                <w:b w:val="0"/>
                <w:sz w:val="24"/>
              </w:rPr>
              <w:t xml:space="preserve"> </w:t>
            </w:r>
            <w:r>
              <w:rPr>
                <w:rFonts w:ascii="PT Astra Serif" w:hAnsi="PT Astra Serif"/>
                <w:b w:val="0"/>
                <w:sz w:val="24"/>
              </w:rPr>
              <w:t>годов.</w:t>
            </w:r>
          </w:p>
          <w:p w14:paraId="2A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00000">
            <w:pPr>
              <w:spacing w:after="0"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</w:t>
            </w:r>
          </w:p>
          <w:p w14:paraId="2C000000">
            <w:pPr>
              <w:spacing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01.07.2025г.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Программа проведения проверки содержит перечень объектов, подлежащих проверке. Утверждается</w:t>
            </w:r>
            <w:r>
              <w:rPr>
                <w:rFonts w:ascii="PT Astra Serif" w:hAnsi="PT Astra Serif"/>
                <w:b w:val="0"/>
                <w:sz w:val="24"/>
              </w:rPr>
              <w:t xml:space="preserve"> з</w:t>
            </w:r>
            <w:r>
              <w:rPr>
                <w:rFonts w:ascii="PT Astra Serif" w:hAnsi="PT Astra Serif"/>
                <w:b w:val="0"/>
                <w:sz w:val="24"/>
              </w:rPr>
              <w:t>аместителем главы города – председателем комиссии.</w:t>
            </w:r>
          </w:p>
        </w:tc>
      </w:tr>
      <w:tr>
        <w:trPr>
          <w:trHeight w:hRule="atLeast" w:val="1283"/>
        </w:trP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6.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00000">
            <w:pPr>
              <w:spacing w:line="240" w:lineRule="auto"/>
              <w:ind/>
              <w:jc w:val="both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Составление графиков проведения проверки готовности т</w:t>
            </w:r>
            <w:r>
              <w:rPr>
                <w:rFonts w:ascii="PT Astra Serif" w:hAnsi="PT Astra Serif"/>
                <w:b w:val="0"/>
                <w:sz w:val="24"/>
              </w:rPr>
              <w:t>еплоснабжающих организаций, обеспечивающих теплоснабжение населения и объектов социальной сферы;</w:t>
            </w:r>
            <w:r>
              <w:rPr>
                <w:rFonts w:ascii="PT Astra Serif" w:hAnsi="PT Astra Serif"/>
                <w:b w:val="0"/>
                <w:sz w:val="24"/>
              </w:rPr>
              <w:t xml:space="preserve"> </w:t>
            </w:r>
          </w:p>
          <w:p w14:paraId="31000000">
            <w:pPr>
              <w:spacing w:line="240" w:lineRule="auto"/>
              <w:ind/>
              <w:jc w:val="both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потребителей тепловой энергии,</w:t>
            </w:r>
          </w:p>
          <w:p w14:paraId="32000000">
            <w:pPr>
              <w:spacing w:line="240" w:lineRule="auto"/>
              <w:ind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подлежащих проверке</w:t>
            </w:r>
          </w:p>
          <w:p w14:paraId="33000000">
            <w:pPr>
              <w:spacing w:line="240" w:lineRule="auto"/>
              <w:ind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к отопительному периоду 2025-2026 гг.</w:t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00000">
            <w:pPr>
              <w:spacing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01.07.2025г.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00000">
            <w:pPr>
              <w:spacing w:line="240" w:lineRule="auto"/>
              <w:ind/>
              <w:jc w:val="both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Графики утверждается з</w:t>
            </w:r>
            <w:r>
              <w:rPr>
                <w:rFonts w:ascii="PT Astra Serif" w:hAnsi="PT Astra Serif"/>
                <w:b w:val="0"/>
                <w:sz w:val="24"/>
              </w:rPr>
              <w:t>аместителем главы города – председателем комиссии.</w:t>
            </w:r>
          </w:p>
          <w:p w14:paraId="37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</w:p>
        </w:tc>
      </w:tr>
      <w:t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7. 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Проведение оценки готовности к отопительному периоду 2025-2026 годов </w:t>
            </w:r>
            <w:r>
              <w:rPr>
                <w:rFonts w:ascii="PT Astra Serif" w:hAnsi="PT Astra Serif"/>
                <w:b w:val="0"/>
                <w:sz w:val="24"/>
              </w:rPr>
              <w:t>т</w:t>
            </w:r>
            <w:r>
              <w:rPr>
                <w:rFonts w:ascii="PT Astra Serif" w:hAnsi="PT Astra Serif"/>
                <w:b w:val="0"/>
                <w:sz w:val="24"/>
              </w:rPr>
              <w:t>еплоснабжающих организаций, обеспечивающих теплоснабжение населения и объектов социальной сферы,</w:t>
            </w:r>
            <w:r>
              <w:rPr>
                <w:rFonts w:ascii="PT Astra Serif" w:hAnsi="PT Astra Serif"/>
                <w:b w:val="0"/>
                <w:sz w:val="24"/>
              </w:rPr>
              <w:t xml:space="preserve"> </w:t>
            </w:r>
            <w:r>
              <w:rPr>
                <w:rFonts w:ascii="PT Astra Serif" w:hAnsi="PT Astra Serif"/>
                <w:b w:val="0"/>
                <w:sz w:val="24"/>
              </w:rPr>
              <w:t>потребителей тепловой энергии путем заполнения оценочных листов</w:t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00000">
            <w:pPr>
              <w:spacing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не более 30 календарных дней с начала проверки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Приложение 2 п.8 Приказа Минэнерго России от 13.11.2024г. №2234</w:t>
            </w:r>
          </w:p>
        </w:tc>
      </w:tr>
      <w:tr>
        <w:tc>
          <w:tcPr>
            <w:tcW w:type="dxa" w:w="8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8.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>Оформление и выдача паспорта готовности теплосетевым и теплоснабжающим организациям, объектам социальной сферы  и прочих потребителей тепловой сферы</w:t>
            </w:r>
          </w:p>
        </w:tc>
        <w:tc>
          <w:tcPr>
            <w:tcW w:type="dxa" w:w="19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00000">
            <w:pPr>
              <w:spacing w:after="0" w:line="240" w:lineRule="auto"/>
              <w:ind/>
              <w:jc w:val="center"/>
              <w:rPr>
                <w:rFonts w:ascii="PT Astra Serif" w:hAnsi="PT Astra Serif"/>
                <w:b w:val="0"/>
                <w:sz w:val="24"/>
              </w:rPr>
            </w:pPr>
            <w:r>
              <w:rPr>
                <w:rFonts w:ascii="PT Astra Serif" w:hAnsi="PT Astra Serif"/>
                <w:b w:val="0"/>
                <w:sz w:val="24"/>
              </w:rPr>
              <w:t>Управление транспорта и коммунального хозяйства</w:t>
            </w:r>
          </w:p>
          <w:p w14:paraId="40000000">
            <w:pPr>
              <w:spacing w:line="240" w:lineRule="auto"/>
              <w:ind/>
              <w:rPr>
                <w:rFonts w:ascii="PT Astra Serif" w:hAnsi="PT Astra Serif"/>
                <w:b w:val="0"/>
                <w:sz w:val="24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pStyle w:val="Style_1"/>
              <w:spacing w:after="0" w:line="240" w:lineRule="auto"/>
              <w:ind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Fonts w:ascii="PT Astra Serif" w:hAnsi="PT Astra Serif"/>
                <w:b w:val="0"/>
                <w:color w:val="000000"/>
                <w:sz w:val="24"/>
              </w:rPr>
              <w:t>до 01.11.2025г.</w:t>
            </w:r>
          </w:p>
        </w:tc>
        <w:tc>
          <w:tcPr>
            <w:tcW w:type="dxa" w:w="54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00000">
            <w:pPr>
              <w:pStyle w:val="Style_1"/>
              <w:spacing w:after="0" w:line="240" w:lineRule="auto"/>
              <w:ind/>
              <w:jc w:val="both"/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</w:pPr>
            <w:r>
              <w:rPr>
                <w:rStyle w:val="Style_1_ch"/>
                <w:rFonts w:ascii="PT Astra Serif" w:hAnsi="PT Astra Serif"/>
                <w:b w:val="0"/>
                <w:color w:val="000000"/>
                <w:sz w:val="24"/>
              </w:rPr>
              <w:t xml:space="preserve">Паспорта выдаются не позднее 5 рабочих дней со дня подписания актов готовности к отопительному периоду 2025-2026 годов </w:t>
            </w:r>
          </w:p>
        </w:tc>
      </w:tr>
    </w:tbl>
    <w:p w14:paraId="43000000">
      <w:pPr>
        <w:pStyle w:val="Style_1"/>
        <w:spacing w:after="0" w:line="240" w:lineRule="auto"/>
        <w:ind/>
        <w:rPr>
          <w:rStyle w:val="Style_1_ch"/>
          <w:rFonts w:ascii="PT Astra Serif" w:hAnsi="PT Astra Serif"/>
          <w:b w:val="0"/>
          <w:color w:val="000000"/>
          <w:sz w:val="24"/>
        </w:rPr>
      </w:pPr>
    </w:p>
    <w:sectPr>
      <w:pgSz w:h="11908" w:orient="landscape" w:w="16848"/>
      <w:pgMar w:bottom="1134" w:footer="708" w:gutter="0" w:header="708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line="240" w:lineRule="auto"/>
      <w:ind/>
    </w:pPr>
    <w:rPr>
      <w:rFonts w:ascii="Courier New" w:hAnsi="Courier New"/>
      <w:color w:val="000000"/>
      <w:sz w:val="24"/>
    </w:rPr>
  </w:style>
  <w:style w:default="1" w:styleId="Style_3_ch" w:type="character">
    <w:name w:val="Normal"/>
    <w:link w:val="Style_3"/>
    <w:rPr>
      <w:rFonts w:ascii="Courier New" w:hAnsi="Courier New"/>
      <w:color w:val="000000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Основной текст (2)"/>
    <w:basedOn w:val="Style_3"/>
    <w:link w:val="Style_8_ch"/>
    <w:pPr>
      <w:spacing w:after="280" w:line="240" w:lineRule="auto"/>
      <w:ind w:firstLine="0" w:left="440" w:right="80"/>
    </w:pPr>
    <w:rPr>
      <w:rFonts w:ascii="Times New Roman" w:hAnsi="Times New Roman"/>
      <w:color w:val="000000"/>
      <w:sz w:val="22"/>
    </w:rPr>
  </w:style>
  <w:style w:styleId="Style_8_ch" w:type="character">
    <w:name w:val="Основной текст (2)"/>
    <w:basedOn w:val="Style_3_ch"/>
    <w:link w:val="Style_8"/>
    <w:rPr>
      <w:rFonts w:ascii="Times New Roman" w:hAnsi="Times New Roman"/>
      <w:color w:val="000000"/>
      <w:sz w:val="22"/>
    </w:rPr>
  </w:style>
  <w:style w:styleId="Style_9" w:type="paragraph">
    <w:name w:val="Основной текст Знак"/>
    <w:basedOn w:val="Style_10"/>
    <w:link w:val="Style_9_ch"/>
    <w:rPr>
      <w:rFonts w:ascii="Courier New" w:hAnsi="Courier New"/>
      <w:color w:val="000000"/>
      <w:sz w:val="24"/>
    </w:rPr>
  </w:style>
  <w:style w:styleId="Style_9_ch" w:type="character">
    <w:name w:val="Основной текст Знак"/>
    <w:basedOn w:val="Style_10_ch"/>
    <w:link w:val="Style_9"/>
    <w:rPr>
      <w:rFonts w:ascii="Courier New" w:hAnsi="Courier New"/>
      <w:color w:val="000000"/>
      <w:sz w:val="24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Body Text"/>
    <w:basedOn w:val="Style_3"/>
    <w:link w:val="Style_1_ch"/>
    <w:pPr>
      <w:spacing w:after="280"/>
      <w:ind/>
      <w:jc w:val="center"/>
    </w:pPr>
    <w:rPr>
      <w:rFonts w:ascii="Times New Roman" w:hAnsi="Times New Roman"/>
      <w:color w:val="000000"/>
      <w:sz w:val="28"/>
    </w:rPr>
  </w:style>
  <w:style w:styleId="Style_1_ch" w:type="character">
    <w:name w:val="Body Text"/>
    <w:basedOn w:val="Style_3_ch"/>
    <w:link w:val="Style_1"/>
    <w:rPr>
      <w:rFonts w:ascii="Times New Roman" w:hAnsi="Times New Roman"/>
      <w:color w:val="000000"/>
      <w:sz w:val="28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List Paragraph"/>
    <w:basedOn w:val="Style_3"/>
    <w:link w:val="Style_23_ch"/>
    <w:pPr>
      <w:ind w:firstLine="0" w:left="720"/>
      <w:contextualSpacing w:val="1"/>
    </w:pPr>
  </w:style>
  <w:style w:styleId="Style_23_ch" w:type="character">
    <w:name w:val="List Paragraph"/>
    <w:basedOn w:val="Style_3_ch"/>
    <w:link w:val="Style_23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28"/>
    <w:pPr>
      <w:spacing w:after="0" w:line="240" w:lineRule="auto"/>
      <w:ind/>
    </w:pPr>
    <w:rPr>
      <w:rFonts w:ascii="Courier New" w:hAnsi="Courier New"/>
      <w:sz w:val="24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2025-05-15T08:48:42Z</dcterms:modified>
</cp:coreProperties>
</file>