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1" w:name="_GoBack"/>
      <w:bookmarkEnd w:id="1"/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14.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</w:t>
      </w:r>
      <w:r>
        <w:rPr>
          <w:spacing w:val="-4"/>
          <w:sz w:val="28"/>
        </w:rPr>
        <w:t>187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252"/>
        <w:rPr>
          <w:rFonts w:ascii="Times New Roman" w:hAnsi="Times New Roman"/>
          <w:sz w:val="28"/>
        </w:rPr>
      </w:pPr>
      <w:r>
        <w:rPr>
          <w:rFonts w:ascii="XO Thames" w:hAnsi="XO Thames"/>
          <w:sz w:val="28"/>
        </w:rPr>
        <w:t xml:space="preserve">Об утверждении плана подготовки </w:t>
      </w:r>
      <w:r>
        <w:rPr>
          <w:rFonts w:ascii="XO Thames" w:hAnsi="XO Thames"/>
          <w:sz w:val="28"/>
        </w:rPr>
        <w:t>города Магнитогорска к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XO Thames" w:hAnsi="XO Thames"/>
          <w:sz w:val="28"/>
        </w:rPr>
        <w:t xml:space="preserve">отопительному </w:t>
      </w:r>
      <w:r>
        <w:rPr>
          <w:rFonts w:ascii="XO Thames" w:hAnsi="XO Thames"/>
          <w:sz w:val="28"/>
        </w:rPr>
        <w:t>периоду 2</w:t>
      </w:r>
      <w:r>
        <w:rPr>
          <w:rFonts w:ascii="XO Thames" w:hAnsi="XO Thames"/>
          <w:sz w:val="28"/>
        </w:rPr>
        <w:t>025-2026 гг.</w:t>
      </w:r>
    </w:p>
    <w:p w14:paraId="0A000000">
      <w:pPr>
        <w:spacing w:after="0" w:line="240" w:lineRule="auto"/>
        <w:ind/>
        <w:rPr>
          <w:rFonts w:ascii="XO Thames" w:hAnsi="XO Thames"/>
          <w:sz w:val="28"/>
        </w:rPr>
      </w:pPr>
    </w:p>
    <w:p w14:paraId="0B000000">
      <w:pPr>
        <w:spacing w:after="0" w:line="240" w:lineRule="auto"/>
        <w:ind w:firstLine="850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 соответствии с </w:t>
      </w:r>
      <w:r>
        <w:rPr>
          <w:rFonts w:ascii="PT Astra Serif" w:hAnsi="PT Astra Serif"/>
          <w:sz w:val="28"/>
        </w:rPr>
        <w:t>п</w:t>
      </w:r>
      <w:r>
        <w:rPr>
          <w:rFonts w:ascii="PT Astra Serif" w:hAnsi="PT Astra Serif"/>
          <w:sz w:val="28"/>
        </w:rPr>
        <w:t>одпунктом 3.1 пункта 3</w:t>
      </w:r>
      <w:r>
        <w:rPr>
          <w:rFonts w:ascii="PT Astra Serif" w:hAnsi="PT Astra Serif"/>
          <w:sz w:val="28"/>
        </w:rPr>
        <w:t xml:space="preserve"> Правил обеспечения готовности к отопительному периоду</w:t>
      </w:r>
      <w:r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 xml:space="preserve"> утвержденных приказом Министерства энергетики Российской</w:t>
      </w:r>
      <w:r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Федерации от 13.11.2024 №</w:t>
      </w:r>
      <w:r>
        <w:rPr>
          <w:rFonts w:ascii="PT Astra Serif" w:hAnsi="PT Astra Serif"/>
          <w:color w:val="000000"/>
          <w:spacing w:val="0"/>
          <w:sz w:val="28"/>
        </w:rPr>
        <w:t> </w:t>
      </w:r>
      <w:r>
        <w:rPr>
          <w:rFonts w:ascii="PT Astra Serif" w:hAnsi="PT Astra Serif"/>
          <w:sz w:val="28"/>
        </w:rPr>
        <w:t>2234</w:t>
      </w:r>
      <w:r>
        <w:br/>
      </w:r>
      <w:r>
        <w:rPr>
          <w:rFonts w:ascii="PT Astra Serif" w:hAnsi="PT Astra Serif"/>
          <w:sz w:val="28"/>
        </w:rPr>
        <w:t>«Об утверждении Правил обеспечения готовности к отопительному периоду</w:t>
      </w:r>
      <w:r>
        <w:br/>
      </w:r>
      <w:r>
        <w:rPr>
          <w:rFonts w:ascii="PT Astra Serif" w:hAnsi="PT Astra Serif"/>
          <w:sz w:val="28"/>
        </w:rPr>
        <w:t xml:space="preserve">и Порядка проведения оценки обеспечения готовности </w:t>
      </w:r>
      <w:r>
        <w:rPr>
          <w:rFonts w:ascii="PT Astra Serif" w:hAnsi="PT Astra Serif"/>
          <w:sz w:val="28"/>
        </w:rPr>
        <w:t>к отопительному периоду»</w:t>
      </w:r>
      <w:r>
        <w:rPr>
          <w:rFonts w:ascii="XO Thames" w:hAnsi="XO Thames"/>
          <w:sz w:val="28"/>
        </w:rPr>
        <w:t xml:space="preserve">, </w:t>
      </w:r>
      <w:r>
        <w:rPr>
          <w:rFonts w:ascii="PT Astra Serif" w:hAnsi="PT Astra Serif"/>
          <w:sz w:val="28"/>
        </w:rPr>
        <w:t>руководствуясь Уставом города Магнитогорска,</w:t>
      </w:r>
    </w:p>
    <w:p w14:paraId="0C000000">
      <w:pPr>
        <w:spacing w:after="0" w:line="240" w:lineRule="auto"/>
        <w:ind w:firstLine="850" w:left="0"/>
        <w:jc w:val="both"/>
        <w:rPr>
          <w:rFonts w:ascii="XO Thames" w:hAnsi="XO Thames"/>
          <w:sz w:val="28"/>
        </w:rPr>
      </w:pPr>
    </w:p>
    <w:p w14:paraId="0D000000">
      <w:pPr>
        <w:spacing w:after="0" w:line="240" w:lineRule="auto"/>
        <w:ind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ПОСТАНОВЛЯЮ:</w:t>
      </w:r>
    </w:p>
    <w:p w14:paraId="0E000000">
      <w:pPr>
        <w:spacing w:after="0" w:line="240" w:lineRule="auto"/>
        <w:ind w:firstLine="709" w:left="0"/>
        <w:jc w:val="both"/>
        <w:rPr>
          <w:color w:val="000000"/>
          <w:sz w:val="28"/>
        </w:rPr>
      </w:pPr>
      <w:r>
        <w:rPr>
          <w:rFonts w:ascii="PT Astra Serif" w:hAnsi="PT Astra Serif"/>
          <w:sz w:val="28"/>
        </w:rPr>
        <w:t>1.</w:t>
      </w:r>
      <w:r>
        <w:rPr>
          <w:rFonts w:ascii="PT Astra Serif" w:hAnsi="PT Astra Serif"/>
          <w:color w:val="000000"/>
          <w:spacing w:val="0"/>
          <w:sz w:val="28"/>
        </w:rPr>
        <w:t>  </w:t>
      </w:r>
      <w:r>
        <w:rPr>
          <w:rFonts w:ascii="PT Astra Serif" w:hAnsi="PT Astra Serif"/>
          <w:sz w:val="28"/>
        </w:rPr>
        <w:t>Утвер</w:t>
      </w:r>
      <w:r>
        <w:rPr>
          <w:rFonts w:ascii="XO Thames" w:hAnsi="XO Thames"/>
          <w:sz w:val="28"/>
        </w:rPr>
        <w:t>дить</w:t>
      </w:r>
      <w:r>
        <w:rPr>
          <w:rFonts w:ascii="XO Thames" w:hAnsi="XO Thames"/>
          <w:sz w:val="28"/>
        </w:rPr>
        <w:t xml:space="preserve"> план подготовки </w:t>
      </w:r>
      <w:r>
        <w:rPr>
          <w:rFonts w:ascii="XO Thames" w:hAnsi="XO Thames"/>
          <w:sz w:val="28"/>
        </w:rPr>
        <w:t xml:space="preserve">города Магнитогорска к отопительному </w:t>
      </w:r>
      <w:r>
        <w:rPr>
          <w:rFonts w:ascii="XO Thames" w:hAnsi="XO Thames"/>
          <w:sz w:val="28"/>
        </w:rPr>
        <w:t>периоду 2</w:t>
      </w:r>
      <w:r>
        <w:rPr>
          <w:rFonts w:ascii="XO Thames" w:hAnsi="XO Thames"/>
          <w:sz w:val="28"/>
        </w:rPr>
        <w:t>025-2026 гг.</w:t>
      </w:r>
      <w:r>
        <w:rPr>
          <w:rFonts w:ascii="XO Thames" w:hAnsi="XO Thames"/>
          <w:color w:val="000000"/>
          <w:sz w:val="28"/>
        </w:rPr>
        <w:t xml:space="preserve"> (приложение).</w:t>
      </w:r>
    </w:p>
    <w:p w14:paraId="0F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</w:t>
      </w:r>
      <w:r>
        <w:rPr>
          <w:rFonts w:ascii="PT Astra Serif" w:hAnsi="PT Astra Serif"/>
          <w:color w:val="000000"/>
          <w:spacing w:val="0"/>
          <w:sz w:val="28"/>
        </w:rPr>
        <w:t>  </w:t>
      </w:r>
      <w:r>
        <w:rPr>
          <w:rFonts w:ascii="PT Astra Serif" w:hAnsi="PT Astra Serif"/>
          <w:sz w:val="28"/>
        </w:rPr>
        <w:t>Настоящее постановление вступает в силу со дня его подписания.</w:t>
      </w:r>
    </w:p>
    <w:p w14:paraId="10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3.</w:t>
      </w:r>
      <w:r>
        <w:rPr>
          <w:rFonts w:ascii="PT Astra Serif" w:hAnsi="PT Astra Serif"/>
          <w:color w:val="000000"/>
          <w:spacing w:val="0"/>
          <w:sz w:val="28"/>
        </w:rPr>
        <w:t>  </w:t>
      </w:r>
      <w:r>
        <w:rPr>
          <w:rFonts w:ascii="PT Astra Serif" w:hAnsi="PT Astra Serif"/>
          <w:sz w:val="28"/>
        </w:rPr>
        <w:t>Службе внешних связей и молодежной политики администрации города Магнитогорска (Болкун</w:t>
      </w:r>
      <w:r>
        <w:rPr>
          <w:rFonts w:ascii="PT Astra Serif" w:hAnsi="PT Astra Serif"/>
          <w:color w:val="000000"/>
          <w:spacing w:val="0"/>
          <w:sz w:val="28"/>
        </w:rPr>
        <w:t> </w:t>
      </w:r>
      <w:r>
        <w:rPr>
          <w:rFonts w:ascii="PT Astra Serif" w:hAnsi="PT Astra Serif"/>
          <w:sz w:val="28"/>
        </w:rPr>
        <w:t>Н.И.) разместить настоящее постановление</w:t>
      </w:r>
      <w:r>
        <w:br/>
      </w:r>
      <w:r>
        <w:rPr>
          <w:rFonts w:ascii="PT Astra Serif" w:hAnsi="PT Astra Serif"/>
          <w:sz w:val="28"/>
        </w:rPr>
        <w:t>на официальном сайте администрации города Магнитогорска в течение</w:t>
      </w:r>
      <w:r>
        <w:br/>
      </w:r>
      <w:r>
        <w:rPr>
          <w:rFonts w:ascii="PT Astra Serif" w:hAnsi="PT Astra Serif"/>
          <w:sz w:val="28"/>
        </w:rPr>
        <w:t>5 рабочих дней со дня подписания настоящего постановления</w:t>
      </w:r>
      <w:r>
        <w:rPr>
          <w:rFonts w:ascii="PT Astra Serif" w:hAnsi="PT Astra Serif"/>
          <w:sz w:val="28"/>
        </w:rPr>
        <w:t>.</w:t>
      </w:r>
    </w:p>
    <w:p w14:paraId="11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4.</w:t>
      </w:r>
      <w:r>
        <w:rPr>
          <w:rFonts w:ascii="PT Astra Serif" w:hAnsi="PT Astra Serif"/>
          <w:color w:val="000000"/>
          <w:spacing w:val="0"/>
          <w:sz w:val="28"/>
        </w:rPr>
        <w:t>  </w:t>
      </w:r>
      <w:r>
        <w:rPr>
          <w:rFonts w:ascii="PT Astra Serif" w:hAnsi="PT Astra Serif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PT Astra Serif" w:hAnsi="PT Astra Serif"/>
          <w:sz w:val="28"/>
        </w:rPr>
        <w:t>на заместителя главы города Магнитогорска Хваткова А.В.</w:t>
      </w:r>
    </w:p>
    <w:p w14:paraId="12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С.Н.</w:t>
      </w:r>
      <w:r>
        <w:rPr>
          <w:rFonts w:ascii="Times New Roman" w:hAnsi="Times New Roman"/>
          <w:sz w:val="28"/>
        </w:rPr>
        <w:t xml:space="preserve"> Бердников</w:t>
      </w:r>
    </w:p>
    <w:p w14:paraId="16000000">
      <w:pPr>
        <w:spacing w:after="0" w:line="240" w:lineRule="auto"/>
        <w:ind w:firstLine="0" w:left="74" w:right="14"/>
        <w:rPr>
          <w:rFonts w:ascii="PT Astra Serif" w:hAnsi="PT Astra Serif"/>
          <w:sz w:val="20"/>
        </w:rPr>
      </w:pPr>
    </w:p>
    <w:p w14:paraId="17000000">
      <w:pPr>
        <w:spacing w:after="0" w:line="240" w:lineRule="auto"/>
        <w:ind w:firstLine="0" w:left="0" w:right="14"/>
        <w:jc w:val="both"/>
        <w:rPr>
          <w:rFonts w:ascii="PT Astra Serif" w:hAnsi="PT Astra Serif"/>
          <w:sz w:val="22"/>
        </w:rPr>
      </w:pPr>
    </w:p>
    <w:p w14:paraId="18000000">
      <w:pPr>
        <w:spacing w:after="0" w:line="240" w:lineRule="auto"/>
        <w:ind w:firstLine="0" w:left="0" w:right="14"/>
        <w:jc w:val="both"/>
        <w:rPr>
          <w:rFonts w:ascii="PT Astra Serif" w:hAnsi="PT Astra Serif"/>
          <w:sz w:val="22"/>
        </w:rPr>
      </w:pPr>
    </w:p>
    <w:p w14:paraId="19000000">
      <w:pPr>
        <w:spacing w:after="0" w:line="240" w:lineRule="auto"/>
        <w:ind w:firstLine="0" w:left="0" w:right="14"/>
        <w:jc w:val="both"/>
        <w:rPr>
          <w:rFonts w:ascii="PT Astra Serif" w:hAnsi="PT Astra Serif"/>
          <w:sz w:val="22"/>
        </w:rPr>
      </w:pPr>
    </w:p>
    <w:p w14:paraId="1A000000">
      <w:pPr>
        <w:spacing w:after="0" w:line="240" w:lineRule="auto"/>
        <w:ind w:firstLine="0" w:left="0" w:right="14"/>
        <w:jc w:val="both"/>
        <w:rPr>
          <w:rFonts w:ascii="PT Astra Serif" w:hAnsi="PT Astra Serif"/>
          <w:sz w:val="22"/>
        </w:rPr>
      </w:pPr>
    </w:p>
    <w:p w14:paraId="1B000000">
      <w:pPr>
        <w:spacing w:after="0" w:line="240" w:lineRule="auto"/>
        <w:ind w:firstLine="0" w:left="0" w:right="14"/>
        <w:jc w:val="both"/>
        <w:rPr>
          <w:rFonts w:ascii="PT Astra Serif" w:hAnsi="PT Astra Serif"/>
          <w:sz w:val="22"/>
        </w:rPr>
      </w:pPr>
    </w:p>
    <w:p w14:paraId="1C000000">
      <w:pPr>
        <w:spacing w:after="0" w:line="240" w:lineRule="auto"/>
        <w:ind w:firstLine="0" w:left="0" w:right="14"/>
        <w:jc w:val="both"/>
        <w:rPr>
          <w:rFonts w:ascii="PT Astra Serif" w:hAnsi="PT Astra Serif"/>
          <w:sz w:val="22"/>
        </w:rPr>
      </w:pPr>
    </w:p>
    <w:p w14:paraId="1D000000">
      <w:pPr>
        <w:spacing w:after="0" w:line="240" w:lineRule="auto"/>
        <w:ind w:firstLine="0" w:left="0" w:right="14"/>
        <w:jc w:val="both"/>
        <w:rPr>
          <w:rFonts w:ascii="PT Astra Serif" w:hAnsi="PT Astra Serif"/>
          <w:sz w:val="22"/>
        </w:rPr>
      </w:pPr>
    </w:p>
    <w:p w14:paraId="1E000000">
      <w:pPr>
        <w:spacing w:after="0" w:line="240" w:lineRule="auto"/>
        <w:ind w:firstLine="0" w:left="0" w:right="14"/>
        <w:jc w:val="both"/>
        <w:rPr>
          <w:rFonts w:ascii="PT Astra Serif" w:hAnsi="PT Astra Serif"/>
          <w:sz w:val="22"/>
        </w:rPr>
      </w:pPr>
    </w:p>
    <w:p w14:paraId="1F000000">
      <w:pPr>
        <w:spacing w:after="0" w:line="240" w:lineRule="auto"/>
        <w:ind w:firstLine="0" w:left="0" w:right="14"/>
        <w:jc w:val="both"/>
        <w:rPr>
          <w:rFonts w:ascii="PT Astra Serif" w:hAnsi="PT Astra Serif"/>
          <w:sz w:val="22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Вр-2117887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Balloon Text"/>
    <w:basedOn w:val="Style_3"/>
    <w:link w:val="Style_6_ch"/>
    <w:pPr>
      <w:spacing w:after="0" w:line="240" w:lineRule="auto"/>
      <w:ind/>
    </w:pPr>
    <w:rPr>
      <w:rFonts w:ascii="Tahoma" w:hAnsi="Tahoma"/>
      <w:sz w:val="16"/>
    </w:rPr>
  </w:style>
  <w:style w:styleId="Style_6_ch" w:type="character">
    <w:name w:val="Balloon Text"/>
    <w:basedOn w:val="Style_3_ch"/>
    <w:link w:val="Style_6"/>
    <w:rPr>
      <w:rFonts w:ascii="Tahoma" w:hAnsi="Tahoma"/>
      <w:sz w:val="16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2025-05-15T08:48:14Z</dcterms:modified>
</cp:coreProperties>
</file>