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spacing w:after="0" w:before="0" w:line="240" w:lineRule="auto"/>
        <w:ind w:firstLine="0" w:left="10772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Приложение № 1</w:t>
      </w:r>
    </w:p>
    <w:p w14:paraId="06000000">
      <w:pPr>
        <w:pStyle w:val="Style_2"/>
        <w:spacing w:after="0" w:before="0" w:line="240" w:lineRule="auto"/>
        <w:ind w:firstLine="0" w:left="10772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к постановлению администрации </w:t>
      </w:r>
    </w:p>
    <w:p w14:paraId="07000000">
      <w:pPr>
        <w:pStyle w:val="Style_2"/>
        <w:spacing w:after="0" w:before="0" w:line="240" w:lineRule="auto"/>
        <w:ind w:firstLine="0" w:left="10772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города Магнитогорска</w:t>
      </w:r>
    </w:p>
    <w:p w14:paraId="08000000">
      <w:pPr>
        <w:pStyle w:val="Style_2"/>
        <w:spacing w:after="0" w:before="0" w:line="240" w:lineRule="auto"/>
        <w:ind w:firstLine="0" w:left="10772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>
        <w:rPr>
          <w:rFonts w:ascii="PT Astra Serif" w:hAnsi="PT Astra Serif"/>
          <w:sz w:val="22"/>
        </w:rPr>
        <w:t>23.04.2025 № 3710-П</w:t>
      </w:r>
    </w:p>
    <w:p w14:paraId="09000000">
      <w:pPr>
        <w:pStyle w:val="Style_2"/>
        <w:spacing w:after="0" w:before="0" w:line="240" w:lineRule="auto"/>
        <w:ind w:firstLine="0" w:left="10772" w:right="0"/>
        <w:jc w:val="left"/>
        <w:rPr>
          <w:rFonts w:ascii="PT Astra Serif" w:hAnsi="PT Astra Serif"/>
        </w:rPr>
      </w:pPr>
    </w:p>
    <w:p w14:paraId="0A000000">
      <w:pPr>
        <w:pStyle w:val="Style_2"/>
        <w:spacing w:after="0" w:before="0" w:line="240" w:lineRule="auto"/>
        <w:ind w:firstLine="0" w:left="10772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Приложение № 1</w:t>
      </w:r>
    </w:p>
    <w:p w14:paraId="0B000000">
      <w:pPr>
        <w:pStyle w:val="Style_2"/>
        <w:spacing w:after="0" w:before="0" w:line="240" w:lineRule="auto"/>
        <w:ind w:firstLine="0" w:left="10772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к муниципальной программе</w:t>
      </w:r>
    </w:p>
    <w:p w14:paraId="0C000000">
      <w:pPr>
        <w:pStyle w:val="Style_2"/>
        <w:spacing w:after="0" w:before="0" w:line="240" w:lineRule="auto"/>
        <w:ind w:firstLine="0" w:left="10772" w:right="0"/>
        <w:jc w:val="left"/>
        <w:rPr>
          <w:rFonts w:ascii="PT Astra Serif" w:hAnsi="PT Astra Serif"/>
        </w:rPr>
      </w:pPr>
      <w:r>
        <w:rPr>
          <w:rFonts w:ascii="PT Astra Serif" w:hAnsi="PT Astra Serif"/>
        </w:rPr>
        <w:t>«Капитальное строительство, реконструкция и капитальный ремонт объектов муниципальной собственности города Магнитогорска» на 2025-2030 годы</w:t>
      </w:r>
    </w:p>
    <w:p w14:paraId="0D000000">
      <w:pPr>
        <w:pStyle w:val="Style_2"/>
        <w:spacing w:after="0" w:before="0" w:line="240" w:lineRule="auto"/>
        <w:ind/>
        <w:jc w:val="right"/>
        <w:rPr>
          <w:rFonts w:ascii="PT Astra Serif" w:hAnsi="PT Astra Serif"/>
        </w:rPr>
      </w:pPr>
    </w:p>
    <w:p w14:paraId="0E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bookmarkStart w:id="1" w:name="P491"/>
      <w:bookmarkEnd w:id="1"/>
    </w:p>
    <w:p w14:paraId="0F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1000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Муниципальной программы</w:t>
      </w:r>
    </w:p>
    <w:p w14:paraId="11000000">
      <w:pPr>
        <w:pStyle w:val="Style_3"/>
        <w:spacing w:after="0" w:before="0" w:line="240" w:lineRule="auto"/>
        <w:ind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6"/>
        </w:rPr>
        <w:t>«Капитальное строительство, реконструкция и капитальный ремонт объектов муници</w:t>
      </w:r>
      <w:r>
        <w:rPr>
          <w:rFonts w:ascii="PT Astra Serif" w:hAnsi="PT Astra Serif"/>
          <w:b w:val="0"/>
          <w:sz w:val="28"/>
        </w:rPr>
        <w:t>пальной собственности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b w:val="0"/>
          <w:sz w:val="28"/>
        </w:rPr>
        <w:t>города Магнитогорска» на 2025-2030 годы</w:t>
      </w:r>
    </w:p>
    <w:p w14:paraId="12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1300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351"/>
        <w:gridCol w:w="3612"/>
        <w:gridCol w:w="7607"/>
      </w:tblGrid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Куратор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Заместитель главы города Магнитогорска курирующий вопросы городского хозяйства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Соисполнители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253"/>
        </w:trP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Период реализации муниципальной программы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2025-2030гг</w:t>
            </w:r>
          </w:p>
          <w:p w14:paraId="1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  <w:highlight w:val="yellow"/>
              </w:rPr>
            </w:pPr>
          </w:p>
        </w:tc>
      </w:tr>
      <w:tr>
        <w:trPr>
          <w:trHeight w:hRule="atLeast" w:val="1465"/>
        </w:trPr>
        <w:tc>
          <w:tcPr>
            <w:tcW w:type="dxa" w:w="3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Цели/задачи муниципальной программы</w:t>
            </w:r>
          </w:p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1</w:t>
            </w:r>
          </w:p>
          <w:p w14:paraId="1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благоприятных и комфортных условий проживания граждан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2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</w:tr>
      <w:tr>
        <w:trPr>
          <w:trHeight w:hRule="atLeast" w:val="1465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2</w:t>
            </w:r>
          </w:p>
          <w:p w14:paraId="2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на территории города Магнитогорска государственной политики в сфере культуры, искусства, кинообслуживания населения, а также в области образования в сфере культуры и искусства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</w:tr>
      <w:tr>
        <w:trPr>
          <w:trHeight w:hRule="atLeast" w:val="1465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3</w:t>
            </w:r>
          </w:p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капитальному строительству и реконструкции объектов, находящихся в муниципальной собственности</w:t>
            </w:r>
          </w:p>
          <w:p w14:paraId="28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</w:t>
            </w:r>
          </w:p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</w:t>
            </w:r>
          </w:p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</w:t>
            </w:r>
          </w:p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8</w:t>
            </w:r>
          </w:p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9</w:t>
            </w:r>
          </w:p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</w:tr>
      <w:tr>
        <w:trPr>
          <w:trHeight w:hRule="atLeast" w:val="460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4</w:t>
            </w:r>
          </w:p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инженерной инфраструктуры, отвечающей современным требованиям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повышения качества предоставления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коммунальных услуг жителям города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Магнитогорска, в том числе в части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теплоснабжения, водоснабжения 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водоотведения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</w:t>
            </w:r>
          </w:p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реконструкции, капитальному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ремонту объектов инженерной инфраструктуры в части водоснабжения 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водоотведения</w:t>
            </w:r>
          </w:p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объектов инженерной инфраструктуры в части теплоснабжения</w:t>
            </w:r>
          </w:p>
        </w:tc>
      </w:tr>
      <w:tr>
        <w:trPr>
          <w:trHeight w:hRule="atLeast" w:val="881"/>
        </w:trPr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5</w:t>
            </w:r>
          </w:p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Развитие социальной, коммунальной инфраструктур для повышения уровня и качества жизни населения города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объектов образования, находящихся в муниципальной собственности</w:t>
            </w:r>
          </w:p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объектов культуры, находящихся в муниципальной собственности</w:t>
            </w:r>
          </w:p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</w:t>
            </w:r>
          </w:p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прочих нежилых объектов, находящихся в муниципальной собственности</w:t>
            </w:r>
          </w:p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</w:t>
            </w:r>
          </w:p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 </w:t>
            </w:r>
          </w:p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</w:t>
            </w:r>
          </w:p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капитального ремонта объектов коммунальной инфраструктуры в части теплоснабжения</w:t>
            </w:r>
          </w:p>
        </w:tc>
      </w:tr>
      <w:tr>
        <w:trPr>
          <w:trHeight w:hRule="atLeast" w:val="881"/>
        </w:trP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3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6</w:t>
            </w:r>
          </w:p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условий для комфортного проживания населения города Магнитогорска, посредством сноса аварийных зданий, строений, сооружений, признанных аварийными и подлежащими сносу</w:t>
            </w:r>
          </w:p>
        </w:tc>
        <w:tc>
          <w:tcPr>
            <w:tcW w:type="dxa" w:w="7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 </w:t>
            </w:r>
          </w:p>
        </w:tc>
      </w:tr>
      <w:tr>
        <w:trPr>
          <w:trHeight w:hRule="atLeast" w:val="361"/>
        </w:trP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Направления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6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Направление 1 «Капитальное строительство, реконструкция и капитальный ремонт объектов муниципальной собственности города Магнитогорска»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7 184 668,26</w:t>
            </w:r>
          </w:p>
        </w:tc>
      </w:tr>
      <w:tr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2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-государственная программа «Обеспечение доступным и комфортным жильем граждан Российской Федерации в Челябинской области»;</w:t>
            </w:r>
          </w:p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-государственная программа «Развитие культуры в Челябинской области»</w:t>
            </w:r>
          </w:p>
        </w:tc>
      </w:tr>
    </w:tbl>
    <w:p w14:paraId="70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2" w:name="P530"/>
      <w:bookmarkEnd w:id="2"/>
      <w:r>
        <w:br w:type="page"/>
      </w:r>
    </w:p>
    <w:p w14:paraId="71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2. Показатели муниципальной программы</w:t>
      </w:r>
    </w:p>
    <w:p w14:paraId="7200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0"/>
        <w:gridCol w:w="4032"/>
        <w:gridCol w:w="912"/>
        <w:gridCol w:w="2210"/>
        <w:gridCol w:w="652"/>
        <w:gridCol w:w="649"/>
        <w:gridCol w:w="652"/>
        <w:gridCol w:w="650"/>
        <w:gridCol w:w="520"/>
        <w:gridCol w:w="651"/>
        <w:gridCol w:w="2990"/>
      </w:tblGrid>
      <w:tr>
        <w:tc>
          <w:tcPr>
            <w:tcW w:type="dxa" w:w="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4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показателя</w:t>
            </w:r>
          </w:p>
        </w:tc>
        <w:tc>
          <w:tcPr>
            <w:tcW w:type="dxa" w:w="9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5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22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7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  <w:tc>
          <w:tcPr>
            <w:tcW w:type="dxa" w:w="29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Ответственный за достижение показателя </w:t>
            </w:r>
          </w:p>
        </w:tc>
      </w:tr>
      <w:tr>
        <w:trPr>
          <w:trHeight w:hRule="atLeast" w:val="830"/>
        </w:trPr>
        <w:tc>
          <w:tcPr>
            <w:tcW w:type="dxa" w:w="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29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</w:tr>
      <w:tr>
        <w:trPr>
          <w:trHeight w:hRule="atLeast" w:val="19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1: Создание благоприятных и комфортных условий проживания граждан</w:t>
            </w:r>
          </w:p>
        </w:tc>
      </w:tr>
      <w:tr>
        <w:trPr>
          <w:trHeight w:hRule="atLeast" w:val="1010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b w:val="1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2:</w:t>
            </w:r>
          </w:p>
          <w:p w14:paraId="9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Реализация на территории города Магнитогорска государственной политики в сфере культуры, искусства, кинообслуживания населения, а также в области образования в сфере культуры и искусства</w:t>
            </w:r>
          </w:p>
        </w:tc>
      </w:tr>
      <w:tr>
        <w:trPr>
          <w:trHeight w:hRule="atLeast" w:val="77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 модернизация музеев, находящихся в региональной и муниципальной собственности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Цель 3: </w:t>
            </w:r>
          </w:p>
          <w:p w14:paraId="A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капитальному строительству и реконструкции объектов, находящихся в муниципальной собственности</w:t>
            </w:r>
          </w:p>
        </w:tc>
      </w:tr>
      <w:tr>
        <w:trPr>
          <w:trHeight w:hRule="atLeast" w:val="1132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0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068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3.3.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03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3.4.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муниципальной собственности, по которым выполнены мероприятия по строительству и реконструкции 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0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3.5.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8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Цель 4: </w:t>
            </w:r>
          </w:p>
          <w:p w14:paraId="E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инженерной инфраструктуры, отвечающей современным требованиям повышение качества предоставления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коммунальных услуг жителям города Магнитогорска, в том числе в части теплоснабжения, водоснабжения и водоотведения</w:t>
            </w:r>
          </w:p>
        </w:tc>
      </w:tr>
      <w:tr>
        <w:trPr>
          <w:trHeight w:hRule="atLeast" w:val="1163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инженерной инфраструктуры, по которым выполнены мероприятия по реконструкции 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50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8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Цель 5: </w:t>
            </w:r>
          </w:p>
          <w:p w14:paraId="FA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Развитие социальной, коммунальной инфраструктур для повышения уровня и качества жизни населения города</w:t>
            </w:r>
          </w:p>
        </w:tc>
      </w:tr>
      <w:tr>
        <w:trPr>
          <w:trHeight w:hRule="atLeast" w:val="106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5.2.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5.3.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3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5.4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rPr>
          <w:trHeight w:hRule="atLeast" w:val="1171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5.5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  <w:t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1391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Цель 6</w:t>
            </w:r>
          </w:p>
          <w:p w14:paraId="34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условий для комфортного проживания населения города Магнитогорска, посредством сноса аварийных зданий, строений, сооружений, признанных аварийными и подлежащими сносу</w:t>
            </w:r>
          </w:p>
        </w:tc>
      </w:tr>
      <w:tr>
        <w:trPr>
          <w:trHeight w:hRule="atLeast" w:val="1024"/>
        </w:trPr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6.1.</w:t>
            </w:r>
          </w:p>
        </w:tc>
        <w:tc>
          <w:tcPr>
            <w:tcW w:type="dxa" w:w="4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2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2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0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3" w:name="P688"/>
      <w:bookmarkEnd w:id="3"/>
      <w:r>
        <w:br w:type="page"/>
      </w:r>
    </w:p>
    <w:p w14:paraId="4101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3. План достижения показателей</w:t>
      </w:r>
    </w:p>
    <w:p w14:paraId="42010000">
      <w:pPr>
        <w:pStyle w:val="Style_2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муниципальной программы в 2025 году</w:t>
      </w:r>
    </w:p>
    <w:p w14:paraId="4301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97"/>
        <w:gridCol w:w="4719"/>
        <w:gridCol w:w="1180"/>
        <w:gridCol w:w="526"/>
        <w:gridCol w:w="657"/>
        <w:gridCol w:w="656"/>
        <w:gridCol w:w="526"/>
        <w:gridCol w:w="524"/>
        <w:gridCol w:w="658"/>
        <w:gridCol w:w="524"/>
        <w:gridCol w:w="656"/>
        <w:gridCol w:w="657"/>
        <w:gridCol w:w="526"/>
        <w:gridCol w:w="655"/>
        <w:gridCol w:w="1709"/>
      </w:tblGrid>
      <w:tr>
        <w:tc>
          <w:tcPr>
            <w:tcW w:type="dxa" w:w="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</w:t>
            </w:r>
          </w:p>
          <w:p w14:paraId="4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муниципальной программы</w:t>
            </w:r>
          </w:p>
        </w:tc>
        <w:tc>
          <w:tcPr>
            <w:tcW w:type="dxa" w:w="11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65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Плановые значения по месяцам</w:t>
            </w:r>
          </w:p>
        </w:tc>
        <w:tc>
          <w:tcPr>
            <w:tcW w:type="dxa" w:w="1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 конец</w:t>
            </w:r>
          </w:p>
          <w:p w14:paraId="4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2025 года </w:t>
            </w:r>
          </w:p>
        </w:tc>
      </w:tr>
      <w:tr>
        <w:tc>
          <w:tcPr>
            <w:tcW w:type="dxa" w:w="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02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03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04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06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07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08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09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1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 модернизация музеев, находящихся в региональной и муниципальной собственности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штука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строительству и реконструкции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7 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строительству и реконструкции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инженерной инфраструктуры, по которым выполнены мероприятия по реконструкции 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</w:tr>
      <w:tr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  <w:tc>
          <w:tcPr>
            <w:tcW w:type="dxa" w:w="4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</w:tr>
    </w:tbl>
    <w:p w14:paraId="4602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4" w:name="P804"/>
      <w:bookmarkEnd w:id="4"/>
      <w:r>
        <w:br w:type="page"/>
      </w:r>
    </w:p>
    <w:p w14:paraId="4702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4. Структура муниципальной программы</w:t>
      </w:r>
    </w:p>
    <w:p w14:paraId="4802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36"/>
        <w:gridCol w:w="4276"/>
        <w:gridCol w:w="4144"/>
        <w:gridCol w:w="5213"/>
      </w:tblGrid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Задачи структурного элемента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Связь с показателями</w:t>
            </w:r>
          </w:p>
        </w:tc>
      </w:tr>
      <w:tr>
        <w:trPr>
          <w:trHeight w:hRule="atLeast" w:val="209"/>
        </w:trP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</w:tr>
      <w:tr>
        <w:trPr>
          <w:trHeight w:hRule="atLeast" w:val="34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Направление 1 «Капитальное строительство, реконструкция и капитальный ремонт объектов муниципальной собственности города Магнитогорска»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 Региональный проект "Модернизация коммунальной инфраструктуры"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</w:p>
          <w:p w14:paraId="5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 объектов коммунальной инфраструктуры в части теплоснабжения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проживания граждан посредством финансирования капитального ремонта тепловых сетей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 Региональный проект "Семейные ценности и инфраструктура культуры"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2026-2030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5F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Поддержка традиционных семейных ценностей и обеспечение доступности культурных мероприятий для всех жителей города Магнитогорска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Повышение качества жизни и доступность культурных услуг для всех слоев</w:t>
            </w:r>
          </w:p>
          <w:p w14:paraId="6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населения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Проведена модернизация музеев, находящихся в региональной и муниципальной собственности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1.3. Муниципальный проект «Капитальное строительство и реконструкция объектов, </w:t>
            </w:r>
          </w:p>
          <w:p w14:paraId="6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находящихся в муниципальной собственности города Магнитогорска»</w:t>
            </w:r>
          </w:p>
        </w:tc>
      </w:tr>
      <w:tr>
        <w:trPr>
          <w:trHeight w:hRule="atLeast" w:val="601"/>
        </w:trP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1.3.1.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6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строительству и реконструкции объектов, находящихся в муниципальной собственности</w:t>
            </w:r>
          </w:p>
          <w:p w14:paraId="6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6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образования</w:t>
            </w:r>
          </w:p>
          <w:p w14:paraId="6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6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3</w:t>
            </w:r>
          </w:p>
          <w:p w14:paraId="6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жилищно-коммунального хозяйства</w:t>
            </w:r>
          </w:p>
          <w:p w14:paraId="7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7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7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физкультуры и спорта</w:t>
            </w:r>
          </w:p>
          <w:p w14:paraId="7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7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7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культуры</w:t>
            </w:r>
          </w:p>
          <w:p w14:paraId="7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7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</w:t>
            </w:r>
          </w:p>
          <w:p w14:paraId="7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строительства, реконструкции объектов социального обслуживания населения</w:t>
            </w:r>
          </w:p>
          <w:p w14:paraId="7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7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</w:t>
            </w:r>
          </w:p>
          <w:p w14:paraId="7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для населения города условий, обеспечивающих возможности ведения здорового образа жизни, систематических занятий физической культурой и спортом посредством капитальных вложений объектов физкультуры и спорта</w:t>
            </w:r>
          </w:p>
          <w:p w14:paraId="7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7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8</w:t>
            </w:r>
          </w:p>
          <w:p w14:paraId="7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новых мест в общеобразовательных организациях, расположенных на территории города Магнитогорска, в том числе введенных путем строительства объектов инфраструктуры общего образования</w:t>
            </w:r>
          </w:p>
          <w:p w14:paraId="7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8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9</w:t>
            </w:r>
          </w:p>
          <w:p w14:paraId="81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Создание в муниципальных образованиях города Магнитогорска равных возможностей для получения качественного дошкольного образования посредством капитальных вложений в объекты образования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граждан посредством финансирования строительства и реконструкции объектов капитального строительства, повышения качества и количества объектов капитального строительства, создание инженерной инфраструктуры, отвечающей современным требованиям, повышение качества предоставления коммунальных услуг жителям города.</w:t>
            </w:r>
          </w:p>
          <w:p w14:paraId="8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муниципальной собственности, по которым выполнены прочие мероприятия по строительству и реконструкции </w:t>
            </w:r>
          </w:p>
          <w:p w14:paraId="8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муниципальной собственности, по которым выполнены мероприятия по строительству и реконструкции </w:t>
            </w:r>
          </w:p>
          <w:p w14:paraId="8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8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9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A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физическая культура и спорт</w:t>
            </w:r>
          </w:p>
          <w:p w14:paraId="B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7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8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общее образование</w:t>
            </w:r>
          </w:p>
          <w:p w14:paraId="B9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A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B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C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  <w:u w:color="000000" w:val="none"/>
              </w:rPr>
            </w:pPr>
          </w:p>
          <w:p w14:paraId="BD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  <w:u w:color="000000" w:val="none"/>
              </w:rPr>
              <w:t>Ввод в эксплуатацию объектов социально-культурного назначения, иных объектов, в том числе по отрасли дошкольное образование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1.4. Муниципальный проект «Модернизация систем коммунальной инфраструктуры города Магнитогорска»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1.4.1.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C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реконструкции, капитальному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ремонту объектов инженерной инфраструктуры в части водоснабжения и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водоотведения </w:t>
            </w:r>
          </w:p>
          <w:p w14:paraId="C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C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2.</w:t>
            </w:r>
          </w:p>
          <w:p w14:paraId="C6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Организация и контроль за проведением работ по капитальным ремонтам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br/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объектов инженерной инфраструктуры в части теплоснабжения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C8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Исключение из эксплуатации объекта повышенной опасности</w:t>
            </w:r>
          </w:p>
          <w:p w14:paraId="C9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CA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CB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CC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CD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CE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Снижение процента потребления тепловой энергии на подогрев холодной воды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0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Количество объектов инженерной инфраструктуры, по которым выполнены мероприятия по реконструкции </w:t>
            </w:r>
          </w:p>
          <w:p w14:paraId="D1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2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3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4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5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D602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Процент снижения потребления тепловой энергии на подогрев холодной воды</w:t>
            </w:r>
          </w:p>
        </w:tc>
      </w:tr>
      <w:tr>
        <w:trPr>
          <w:trHeight w:hRule="atLeast" w:val="39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1.5. Комплекс процессных мероприятий «Капитальный ремонт объектов, находящихся в муниципальной собственности города Магнитогорска»</w:t>
            </w:r>
          </w:p>
        </w:tc>
      </w:tr>
      <w:t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rPr>
          <w:trHeight w:hRule="atLeast" w:val="501"/>
        </w:trP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1.5.1.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D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DD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ремонта объектов образования, находящихся в муниципальной собственности</w:t>
            </w:r>
          </w:p>
          <w:p w14:paraId="D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D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2</w:t>
            </w:r>
          </w:p>
          <w:p w14:paraId="E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E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объектов культуры, находящихся в муниципальной собственности</w:t>
            </w:r>
          </w:p>
          <w:p w14:paraId="E2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</w:p>
          <w:p w14:paraId="E3020000">
            <w:pPr>
              <w:pStyle w:val="Style_6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3 </w:t>
            </w:r>
          </w:p>
          <w:p w14:paraId="E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</w:t>
            </w:r>
          </w:p>
          <w:p w14:paraId="E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ремонта прочих нежилых объектов, находящихся в муниципальной собственности</w:t>
            </w:r>
          </w:p>
          <w:p w14:paraId="E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E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4</w:t>
            </w:r>
          </w:p>
          <w:p w14:paraId="E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  <w:p w14:paraId="E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E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5</w:t>
            </w:r>
          </w:p>
          <w:p w14:paraId="E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  <w:p w14:paraId="E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E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6</w:t>
            </w:r>
          </w:p>
          <w:p w14:paraId="E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 </w:t>
            </w:r>
          </w:p>
          <w:p w14:paraId="E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F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7</w:t>
            </w:r>
          </w:p>
          <w:p w14:paraId="F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капитального ремонта объектов коммунальной инфраструктуры в части теплоснабжения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объектов, находящихся в муниципальной собственности</w:t>
            </w:r>
          </w:p>
          <w:p w14:paraId="F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F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объектов, находящихся в муниципальной собственности</w:t>
            </w:r>
          </w:p>
          <w:p w14:paraId="0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0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посредством прочих мероприятий по капитальному ремонту объектов, находящихся в муниципальной собственности</w:t>
            </w:r>
          </w:p>
          <w:p w14:paraId="0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  <w:p w14:paraId="1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1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1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комфортных условий для проживания жителей города, постоянное повышение уровня и качества жизни населения города посредством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капитального ремонта объектов коммунальной инфраструктуры в части теплоснабжения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7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мероприятия по капитальному ремонту</w:t>
            </w:r>
          </w:p>
          <w:p w14:paraId="18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9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A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B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C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D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E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1F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0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1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2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3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4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5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6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7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8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9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A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B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C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D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E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2F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 </w:t>
            </w:r>
          </w:p>
          <w:p w14:paraId="30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1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2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3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4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5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6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7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8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  <w:p w14:paraId="39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A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B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C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D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3E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  <w:p w14:paraId="3F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40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41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42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43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44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  <w:p w14:paraId="45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  <w:p w14:paraId="46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rPr>
          <w:trHeight w:hRule="atLeast" w:val="392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1.6. Комплекс процессных мероприятий "Снос нежилых объектов, находящихся в муниципальной собственности города Магнитогорска"</w:t>
            </w:r>
          </w:p>
        </w:tc>
      </w:tr>
      <w:tr>
        <w:trPr>
          <w:trHeight w:hRule="atLeast" w:val="28"/>
        </w:trPr>
        <w:tc>
          <w:tcPr>
            <w:tcW w:type="dxa" w:w="521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за реализацию –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93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Срок реализации 2025-2030</w:t>
            </w:r>
          </w:p>
        </w:tc>
      </w:tr>
      <w:tr>
        <w:trPr>
          <w:trHeight w:hRule="atLeast" w:val="282"/>
        </w:trPr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1.6.1.</w:t>
            </w:r>
          </w:p>
        </w:tc>
        <w:tc>
          <w:tcPr>
            <w:tcW w:type="dxa" w:w="4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</w:t>
            </w:r>
          </w:p>
          <w:p w14:paraId="4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 </w:t>
            </w:r>
          </w:p>
        </w:tc>
        <w:tc>
          <w:tcPr>
            <w:tcW w:type="dxa" w:w="4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Создание комфортных условий для проживания жителей города, посредством уменьшения количества прочих нежилых объектов, подлежащих сносу на территории города Магнитогорска, представляющих опасность для жизни и здоровья граждан</w:t>
            </w:r>
          </w:p>
        </w:tc>
        <w:tc>
          <w:tcPr>
            <w:tcW w:type="dxa" w:w="52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5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снесенных прочих нежилых объектов, находящихся в муниципальной собственности</w:t>
            </w:r>
          </w:p>
        </w:tc>
      </w:tr>
    </w:tbl>
    <w:p w14:paraId="4F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bookmarkStart w:id="5" w:name="P877"/>
      <w:bookmarkEnd w:id="5"/>
    </w:p>
    <w:p w14:paraId="50030000">
      <w:pPr>
        <w:pStyle w:val="Style_2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2"/>
        <w:rPr>
          <w:rFonts w:ascii="PT Astra Serif" w:hAnsi="PT Astra Serif"/>
        </w:rPr>
      </w:pPr>
      <w:r>
        <w:rPr>
          <w:rFonts w:ascii="PT Astra Serif" w:hAnsi="PT Astra Serif"/>
        </w:rPr>
        <w:t>5. Финансовое обеспечение муниципальной программы</w:t>
      </w:r>
    </w:p>
    <w:p w14:paraId="51030000">
      <w:pPr>
        <w:pStyle w:val="Style_2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867"/>
        <w:gridCol w:w="1485"/>
        <w:gridCol w:w="1486"/>
        <w:gridCol w:w="1486"/>
        <w:gridCol w:w="1486"/>
        <w:gridCol w:w="1486"/>
        <w:gridCol w:w="1486"/>
        <w:gridCol w:w="1785"/>
      </w:tblGrid>
      <w:tr>
        <w:tc>
          <w:tcPr>
            <w:tcW w:type="dxa" w:w="38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070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8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2025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2026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2027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2029 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1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3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4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7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pacing w:val="0"/>
                <w:sz w:val="16"/>
              </w:rPr>
              <w:t>8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Всего, в т.ч.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2 480 573,40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1 801 496,52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773 111,28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687 779,39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 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709 141,91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732 565,76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7 184 668,26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39 350,50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43 794,29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70 689,71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153 834,50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1 968 236,12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1 602 083,15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640 254,96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601 497,57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620 102,36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640 502,38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6 072 676,54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472 986,78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155 619,08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62 166,61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86 281,82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89 039,55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92 063,38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958 157,22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источники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налоговых расходов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93030000">
      <w:pPr>
        <w:pStyle w:val="Style_5"/>
        <w:spacing w:after="0" w:before="0" w:line="240" w:lineRule="auto"/>
        <w:ind/>
        <w:rPr>
          <w:rFonts w:ascii="PT Astra Serif" w:hAnsi="PT Astra Serif"/>
        </w:rPr>
      </w:pPr>
      <w:bookmarkStart w:id="6" w:name="P1380"/>
      <w:bookmarkEnd w:id="6"/>
      <w:bookmarkStart w:id="7" w:name="P1379"/>
      <w:bookmarkEnd w:id="7"/>
      <w:bookmarkStart w:id="8" w:name="P1378"/>
      <w:bookmarkEnd w:id="8"/>
    </w:p>
    <w:sectPr>
      <w:headerReference r:id="rId2" w:type="default"/>
      <w:headerReference r:id="rId1" w:type="first"/>
      <w:type w:val="nextPage"/>
      <w:pgSz w:h="11906" w:orient="landscape" w:w="16838"/>
      <w:pgMar w:bottom="1134" w:footer="0" w:gutter="0" w:header="709" w:left="1134" w:right="113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5_ch" w:type="character">
    <w:name w:val="Normal"/>
    <w:link w:val="Style_5"/>
    <w:rPr>
      <w:rFonts w:asciiTheme="minorAscii" w:hAnsiTheme="minorHAnsi"/>
      <w:color w:val="000000"/>
      <w:spacing w:val="0"/>
      <w:sz w:val="22"/>
    </w:rPr>
  </w:style>
  <w:style w:styleId="Style_7" w:type="paragraph">
    <w:name w:val="toc 2"/>
    <w:next w:val="Style_5"/>
    <w:link w:val="Style_7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8" w:type="paragraph">
    <w:name w:val="toc 4"/>
    <w:next w:val="Style_5"/>
    <w:link w:val="Style_8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5"/>
    <w:link w:val="Style_9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Footer"/>
    <w:basedOn w:val="Style_5"/>
    <w:link w:val="Style_10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0_ch" w:type="character">
    <w:name w:val="Footer"/>
    <w:basedOn w:val="Style_5_ch"/>
    <w:link w:val="Style_10"/>
  </w:style>
  <w:style w:styleId="Style_11" w:type="paragraph">
    <w:name w:val="toc 7"/>
    <w:next w:val="Style_5"/>
    <w:link w:val="Style_11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Heading 3"/>
    <w:link w:val="Style_12_ch"/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ontents 6"/>
    <w:link w:val="Style_13_ch"/>
    <w:rPr>
      <w:rFonts w:ascii="XO Thames" w:hAnsi="XO Thames"/>
      <w:sz w:val="28"/>
    </w:rPr>
  </w:style>
  <w:style w:styleId="Style_13_ch" w:type="character">
    <w:name w:val="Contents 6"/>
    <w:link w:val="Style_13"/>
    <w:rPr>
      <w:rFonts w:ascii="XO Thames" w:hAnsi="XO Thames"/>
      <w:sz w:val="28"/>
    </w:rPr>
  </w:style>
  <w:style w:styleId="Style_14" w:type="paragraph">
    <w:name w:val="Contents 9"/>
    <w:link w:val="Style_14_ch"/>
    <w:rPr>
      <w:rFonts w:ascii="XO Thames" w:hAnsi="XO Thames"/>
      <w:sz w:val="28"/>
    </w:rPr>
  </w:style>
  <w:style w:styleId="Style_14_ch" w:type="character">
    <w:name w:val="Contents 9"/>
    <w:link w:val="Style_14"/>
    <w:rPr>
      <w:rFonts w:ascii="XO Thames" w:hAnsi="XO Thames"/>
      <w:sz w:val="28"/>
    </w:rPr>
  </w:style>
  <w:style w:styleId="Style_15" w:type="paragraph">
    <w:name w:val="Endnote"/>
    <w:link w:val="Style_1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5_ch" w:type="character">
    <w:name w:val="Endnote"/>
    <w:link w:val="Style_15"/>
    <w:rPr>
      <w:rFonts w:ascii="XO Thames" w:hAnsi="XO Thames"/>
      <w:color w:val="000000"/>
      <w:spacing w:val="0"/>
      <w:sz w:val="22"/>
    </w:rPr>
  </w:style>
  <w:style w:styleId="Style_16" w:type="paragraph">
    <w:name w:val="heading 3"/>
    <w:next w:val="Style_5"/>
    <w:link w:val="Style_16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Heading 5"/>
    <w:link w:val="Style_17_ch"/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er"/>
    <w:link w:val="Style_18_ch"/>
  </w:style>
  <w:style w:styleId="Style_18_ch" w:type="character">
    <w:name w:val="Header"/>
    <w:link w:val="Style_18"/>
  </w:style>
  <w:style w:styleId="Style_19" w:type="paragraph">
    <w:name w:val="Contents 5"/>
    <w:link w:val="Style_19_ch"/>
    <w:rPr>
      <w:rFonts w:ascii="XO Thames" w:hAnsi="XO Thames"/>
      <w:sz w:val="28"/>
    </w:rPr>
  </w:style>
  <w:style w:styleId="Style_19_ch" w:type="character">
    <w:name w:val="Contents 5"/>
    <w:link w:val="Style_19"/>
    <w:rPr>
      <w:rFonts w:ascii="XO Thames" w:hAnsi="XO Thames"/>
      <w:sz w:val="28"/>
    </w:rPr>
  </w:style>
  <w:style w:styleId="Style_20" w:type="paragraph">
    <w:name w:val="Footer"/>
    <w:link w:val="Style_20_ch"/>
  </w:style>
  <w:style w:styleId="Style_20_ch" w:type="character">
    <w:name w:val="Footer"/>
    <w:link w:val="Style_20"/>
  </w:style>
  <w:style w:styleId="Style_21" w:type="paragraph">
    <w:name w:val="Balloon Text"/>
    <w:basedOn w:val="Style_5"/>
    <w:link w:val="Style_21_ch"/>
    <w:pPr>
      <w:spacing w:after="0" w:before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5_ch"/>
    <w:link w:val="Style_21"/>
    <w:rPr>
      <w:rFonts w:ascii="Segoe UI" w:hAnsi="Segoe UI"/>
      <w:sz w:val="18"/>
    </w:rPr>
  </w:style>
  <w:style w:styleId="Style_22" w:type="paragraph">
    <w:name w:val="Contents 1"/>
    <w:link w:val="Style_22_ch"/>
    <w:rPr>
      <w:rFonts w:ascii="XO Thames" w:hAnsi="XO Thames"/>
      <w:b w:val="1"/>
      <w:sz w:val="28"/>
    </w:rPr>
  </w:style>
  <w:style w:styleId="Style_22_ch" w:type="character">
    <w:name w:val="Contents 1"/>
    <w:link w:val="Style_22"/>
    <w:rPr>
      <w:rFonts w:ascii="XO Thames" w:hAnsi="XO Thames"/>
      <w:b w:val="1"/>
      <w:sz w:val="28"/>
    </w:rPr>
  </w:style>
  <w:style w:styleId="Style_23" w:type="paragraph">
    <w:name w:val="Contents 8"/>
    <w:link w:val="Style_23_ch"/>
    <w:rPr>
      <w:rFonts w:ascii="XO Thames" w:hAnsi="XO Thames"/>
      <w:sz w:val="28"/>
    </w:rPr>
  </w:style>
  <w:style w:styleId="Style_23_ch" w:type="character">
    <w:name w:val="Contents 8"/>
    <w:link w:val="Style_23"/>
    <w:rPr>
      <w:rFonts w:ascii="XO Thames" w:hAnsi="XO Thames"/>
      <w:sz w:val="28"/>
    </w:rPr>
  </w:style>
  <w:style w:styleId="Style_24" w:type="paragraph">
    <w:name w:val="annotation subject"/>
    <w:basedOn w:val="Style_25"/>
    <w:next w:val="Style_25"/>
    <w:link w:val="Style_24_ch"/>
    <w:rPr>
      <w:b w:val="1"/>
    </w:rPr>
  </w:style>
  <w:style w:styleId="Style_24_ch" w:type="character">
    <w:name w:val="annotation subject"/>
    <w:basedOn w:val="Style_25_ch"/>
    <w:link w:val="Style_24"/>
    <w:rPr>
      <w:b w:val="1"/>
    </w:rPr>
  </w:style>
  <w:style w:styleId="Style_26" w:type="paragraph">
    <w:name w:val="Heading 1"/>
    <w:link w:val="Style_26_ch"/>
    <w:rPr>
      <w:rFonts w:ascii="Times New Roman CYR" w:hAnsi="Times New Roman CYR"/>
      <w:b w:val="1"/>
      <w:color w:val="26282F"/>
      <w:sz w:val="24"/>
    </w:rPr>
  </w:style>
  <w:style w:styleId="Style_26_ch" w:type="character">
    <w:name w:val="Heading 1"/>
    <w:link w:val="Style_26"/>
    <w:rPr>
      <w:rFonts w:ascii="Times New Roman CYR" w:hAnsi="Times New Roman CYR"/>
      <w:b w:val="1"/>
      <w:color w:val="26282F"/>
      <w:sz w:val="24"/>
    </w:rPr>
  </w:style>
  <w:style w:styleId="Style_27" w:type="paragraph">
    <w:name w:val="Title"/>
    <w:link w:val="Style_27_ch"/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toc 3"/>
    <w:next w:val="Style_5"/>
    <w:link w:val="Style_28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8_ch" w:type="character">
    <w:name w:val="toc 3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Указатель"/>
    <w:basedOn w:val="Style_5"/>
    <w:link w:val="Style_29_ch"/>
    <w:rPr>
      <w:rFonts w:ascii="PT Astra Serif" w:hAnsi="PT Astra Serif"/>
    </w:rPr>
  </w:style>
  <w:style w:styleId="Style_29_ch" w:type="character">
    <w:name w:val="Указатель"/>
    <w:basedOn w:val="Style_5_ch"/>
    <w:link w:val="Style_29"/>
    <w:rPr>
      <w:rFonts w:ascii="PT Astra Serif" w:hAnsi="PT Astra Serif"/>
    </w:rPr>
  </w:style>
  <w:style w:styleId="Style_30" w:type="paragraph">
    <w:name w:val="heading 4"/>
    <w:next w:val="Style_5"/>
    <w:link w:val="Style_30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30_ch" w:type="character">
    <w:name w:val="heading 4"/>
    <w:link w:val="Style_30"/>
    <w:rPr>
      <w:rFonts w:ascii="XO Thames" w:hAnsi="XO Thames"/>
      <w:b w:val="1"/>
      <w:color w:val="000000"/>
      <w:spacing w:val="0"/>
      <w:sz w:val="24"/>
    </w:rPr>
  </w:style>
  <w:style w:styleId="Style_31" w:type="paragraph">
    <w:name w:val="heading 2"/>
    <w:next w:val="Style_5"/>
    <w:link w:val="Style_31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31_ch" w:type="character">
    <w:name w:val="heading 2"/>
    <w:link w:val="Style_31"/>
    <w:rPr>
      <w:rFonts w:ascii="XO Thames" w:hAnsi="XO Thames"/>
      <w:b w:val="1"/>
      <w:color w:val="000000"/>
      <w:spacing w:val="0"/>
      <w:sz w:val="28"/>
    </w:rPr>
  </w:style>
  <w:style w:styleId="Style_6" w:type="paragraph">
    <w:name w:val="Нормальный (таблица)"/>
    <w:basedOn w:val="Style_5"/>
    <w:next w:val="Style_5"/>
    <w:link w:val="Style_6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6_ch" w:type="character">
    <w:name w:val="Нормальный (таблица)"/>
    <w:basedOn w:val="Style_5_ch"/>
    <w:link w:val="Style_6"/>
    <w:rPr>
      <w:rFonts w:ascii="Arial" w:hAnsi="Arial"/>
      <w:sz w:val="24"/>
    </w:rPr>
  </w:style>
  <w:style w:styleId="Style_32" w:type="paragraph">
    <w:name w:val="heading 5"/>
    <w:next w:val="Style_5"/>
    <w:link w:val="Style_32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2_ch" w:type="character">
    <w:name w:val="heading 5"/>
    <w:link w:val="Style_32"/>
    <w:rPr>
      <w:rFonts w:ascii="XO Thames" w:hAnsi="XO Thames"/>
      <w:b w:val="1"/>
      <w:color w:val="000000"/>
      <w:spacing w:val="0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3_ch" w:type="character">
    <w:name w:val="heading 1"/>
    <w:basedOn w:val="Style_5_ch"/>
    <w:link w:val="Style_3"/>
    <w:rPr>
      <w:rFonts w:ascii="Times New Roman CYR" w:hAnsi="Times New Roman CYR"/>
      <w:b w:val="1"/>
      <w:color w:val="26282F"/>
      <w:sz w:val="24"/>
    </w:rPr>
  </w:style>
  <w:style w:styleId="Style_33" w:type="paragraph">
    <w:name w:val="Subtitle"/>
    <w:link w:val="Style_33_ch"/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5_ch" w:type="character">
    <w:name w:val="Footnote"/>
    <w:link w:val="Style_35"/>
    <w:rPr>
      <w:rFonts w:ascii="XO Thames" w:hAnsi="XO Thames"/>
      <w:color w:val="000000"/>
      <w:spacing w:val="0"/>
      <w:sz w:val="22"/>
    </w:rPr>
  </w:style>
  <w:style w:styleId="Style_36" w:type="paragraph">
    <w:name w:val="formattext"/>
    <w:basedOn w:val="Style_5"/>
    <w:link w:val="Style_3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6_ch" w:type="character">
    <w:name w:val="formattext"/>
    <w:basedOn w:val="Style_5_ch"/>
    <w:link w:val="Style_36"/>
    <w:rPr>
      <w:rFonts w:ascii="Times New Roman" w:hAnsi="Times New Roman"/>
      <w:sz w:val="24"/>
    </w:rPr>
  </w:style>
  <w:style w:styleId="Style_37" w:type="paragraph">
    <w:name w:val="toc 1"/>
    <w:next w:val="Style_5"/>
    <w:link w:val="Style_37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7_ch" w:type="character">
    <w:name w:val="toc 1"/>
    <w:link w:val="Style_37"/>
    <w:rPr>
      <w:rFonts w:ascii="XO Thames" w:hAnsi="XO Thames"/>
      <w:b w:val="1"/>
      <w:color w:val="000000"/>
      <w:spacing w:val="0"/>
      <w:sz w:val="28"/>
    </w:rPr>
  </w:style>
  <w:style w:styleId="Style_38" w:type="paragraph">
    <w:name w:val="Header and Footer"/>
    <w:link w:val="Style_38_ch"/>
    <w:rPr>
      <w:rFonts w:ascii="XO Thames" w:hAnsi="XO Thames"/>
      <w:sz w:val="28"/>
    </w:rPr>
  </w:style>
  <w:style w:styleId="Style_38_ch" w:type="character">
    <w:name w:val="Header and Footer"/>
    <w:link w:val="Style_38"/>
    <w:rPr>
      <w:rFonts w:ascii="XO Thames" w:hAnsi="XO Thames"/>
      <w:sz w:val="28"/>
    </w:rPr>
  </w:style>
  <w:style w:styleId="Style_39" w:type="paragraph">
    <w:name w:val="Заголовок"/>
    <w:basedOn w:val="Style_5"/>
    <w:next w:val="Style_40"/>
    <w:link w:val="Style_3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9_ch" w:type="character">
    <w:name w:val="Заголовок"/>
    <w:basedOn w:val="Style_5_ch"/>
    <w:link w:val="Style_39"/>
    <w:rPr>
      <w:rFonts w:ascii="PT Astra Serif" w:hAnsi="PT Astra Serif"/>
      <w:sz w:val="28"/>
    </w:rPr>
  </w:style>
  <w:style w:styleId="Style_41" w:type="paragraph">
    <w:name w:val="Contents 7"/>
    <w:link w:val="Style_41_ch"/>
    <w:rPr>
      <w:rFonts w:ascii="XO Thames" w:hAnsi="XO Thames"/>
      <w:sz w:val="28"/>
    </w:rPr>
  </w:style>
  <w:style w:styleId="Style_41_ch" w:type="character">
    <w:name w:val="Contents 7"/>
    <w:link w:val="Style_41"/>
    <w:rPr>
      <w:rFonts w:ascii="XO Thames" w:hAnsi="XO Thames"/>
      <w:sz w:val="28"/>
    </w:rPr>
  </w:style>
  <w:style w:styleId="Style_42" w:type="paragraph">
    <w:name w:val="Caption"/>
    <w:basedOn w:val="Style_5"/>
    <w:link w:val="Style_42_ch"/>
    <w:pPr>
      <w:spacing w:after="120" w:before="120"/>
      <w:ind/>
    </w:pPr>
    <w:rPr>
      <w:rFonts w:ascii="PT Astra Serif" w:hAnsi="PT Astra Serif"/>
      <w:i w:val="1"/>
      <w:sz w:val="24"/>
    </w:rPr>
  </w:style>
  <w:style w:styleId="Style_42_ch" w:type="character">
    <w:name w:val="Caption"/>
    <w:basedOn w:val="Style_5_ch"/>
    <w:link w:val="Style_42"/>
    <w:rPr>
      <w:rFonts w:ascii="PT Astra Serif" w:hAnsi="PT Astra Serif"/>
      <w:i w:val="1"/>
      <w:sz w:val="24"/>
    </w:rPr>
  </w:style>
  <w:style w:styleId="Style_43" w:type="paragraph">
    <w:name w:val="toc 9"/>
    <w:next w:val="Style_5"/>
    <w:link w:val="Style_43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9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annotation reference"/>
    <w:basedOn w:val="Style_45"/>
    <w:link w:val="Style_44_ch"/>
    <w:rPr>
      <w:sz w:val="16"/>
    </w:rPr>
  </w:style>
  <w:style w:styleId="Style_44_ch" w:type="character">
    <w:name w:val="annotation reference"/>
    <w:basedOn w:val="Style_45_ch"/>
    <w:link w:val="Style_44"/>
    <w:rPr>
      <w:sz w:val="16"/>
    </w:rPr>
  </w:style>
  <w:style w:styleId="Style_40" w:type="paragraph">
    <w:name w:val="Body Text"/>
    <w:basedOn w:val="Style_5"/>
    <w:link w:val="Style_40_ch"/>
    <w:pPr>
      <w:spacing w:after="140" w:before="0" w:line="276" w:lineRule="auto"/>
      <w:ind/>
    </w:pPr>
  </w:style>
  <w:style w:styleId="Style_40_ch" w:type="character">
    <w:name w:val="Body Text"/>
    <w:basedOn w:val="Style_5_ch"/>
    <w:link w:val="Style_40"/>
  </w:style>
  <w:style w:styleId="Style_46" w:type="paragraph">
    <w:name w:val="Contents 2"/>
    <w:link w:val="Style_46_ch"/>
    <w:rPr>
      <w:rFonts w:ascii="XO Thames" w:hAnsi="XO Thames"/>
      <w:sz w:val="28"/>
    </w:rPr>
  </w:style>
  <w:style w:styleId="Style_46_ch" w:type="character">
    <w:name w:val="Contents 2"/>
    <w:link w:val="Style_46"/>
    <w:rPr>
      <w:rFonts w:ascii="XO Thames" w:hAnsi="XO Thames"/>
      <w:sz w:val="28"/>
    </w:rPr>
  </w:style>
  <w:style w:styleId="Style_47" w:type="paragraph">
    <w:name w:val="Internet link"/>
    <w:link w:val="Style_47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7_ch" w:type="character">
    <w:name w:val="Internet link"/>
    <w:link w:val="Style_47"/>
    <w:rPr>
      <w:rFonts w:ascii="Calibri" w:hAnsi="Calibri"/>
      <w:color w:val="0000FF"/>
      <w:spacing w:val="0"/>
      <w:sz w:val="22"/>
      <w:u w:val="single"/>
    </w:rPr>
  </w:style>
  <w:style w:styleId="Style_48" w:type="paragraph">
    <w:name w:val="Contents 3"/>
    <w:link w:val="Style_48_ch"/>
    <w:rPr>
      <w:rFonts w:ascii="XO Thames" w:hAnsi="XO Thames"/>
      <w:sz w:val="28"/>
    </w:rPr>
  </w:style>
  <w:style w:styleId="Style_48_ch" w:type="character">
    <w:name w:val="Contents 3"/>
    <w:link w:val="Style_48"/>
    <w:rPr>
      <w:rFonts w:ascii="XO Thames" w:hAnsi="XO Thames"/>
      <w:sz w:val="28"/>
    </w:rPr>
  </w:style>
  <w:style w:styleId="Style_49" w:type="paragraph">
    <w:name w:val="List"/>
    <w:basedOn w:val="Style_40"/>
    <w:link w:val="Style_49_ch"/>
    <w:rPr>
      <w:rFonts w:ascii="PT Astra Serif" w:hAnsi="PT Astra Serif"/>
    </w:rPr>
  </w:style>
  <w:style w:styleId="Style_49_ch" w:type="character">
    <w:name w:val="List"/>
    <w:basedOn w:val="Style_40_ch"/>
    <w:link w:val="Style_49"/>
    <w:rPr>
      <w:rFonts w:ascii="PT Astra Serif" w:hAnsi="PT Astra Serif"/>
    </w:rPr>
  </w:style>
  <w:style w:styleId="Style_50" w:type="paragraph">
    <w:name w:val="toc 8"/>
    <w:next w:val="Style_5"/>
    <w:link w:val="Style_50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0_ch" w:type="character">
    <w:name w:val="toc 8"/>
    <w:link w:val="Style_50"/>
    <w:rPr>
      <w:rFonts w:ascii="XO Thames" w:hAnsi="XO Thames"/>
      <w:color w:val="000000"/>
      <w:spacing w:val="0"/>
      <w:sz w:val="28"/>
    </w:rPr>
  </w:style>
  <w:style w:styleId="Style_51" w:type="paragraph">
    <w:name w:val="Strong"/>
    <w:basedOn w:val="Style_45"/>
    <w:link w:val="Style_51_ch"/>
    <w:rPr>
      <w:b w:val="1"/>
    </w:rPr>
  </w:style>
  <w:style w:styleId="Style_51_ch" w:type="character">
    <w:name w:val="Strong"/>
    <w:basedOn w:val="Style_45_ch"/>
    <w:link w:val="Style_51"/>
    <w:rPr>
      <w:b w:val="1"/>
    </w:rPr>
  </w:style>
  <w:style w:styleId="Style_25" w:type="paragraph">
    <w:name w:val="annotation text"/>
    <w:basedOn w:val="Style_5"/>
    <w:link w:val="Style_25_ch"/>
    <w:pPr>
      <w:spacing w:line="240" w:lineRule="auto"/>
      <w:ind/>
    </w:pPr>
    <w:rPr>
      <w:sz w:val="20"/>
    </w:rPr>
  </w:style>
  <w:style w:styleId="Style_25_ch" w:type="character">
    <w:name w:val="annotation text"/>
    <w:basedOn w:val="Style_5_ch"/>
    <w:link w:val="Style_25"/>
    <w:rPr>
      <w:sz w:val="20"/>
    </w:rPr>
  </w:style>
  <w:style w:styleId="Style_52" w:type="paragraph">
    <w:name w:val="toc 5"/>
    <w:next w:val="Style_5"/>
    <w:link w:val="Style_52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toc 5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Колонтитул"/>
    <w:link w:val="Style_53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53_ch" w:type="character">
    <w:name w:val="Колонтитул"/>
    <w:link w:val="Style_53"/>
    <w:rPr>
      <w:rFonts w:ascii="XO Thames" w:hAnsi="XO Thames"/>
      <w:color w:val="000000"/>
      <w:spacing w:val="0"/>
      <w:sz w:val="28"/>
    </w:rPr>
  </w:style>
  <w:style w:styleId="Style_1" w:type="paragraph">
    <w:name w:val="Header"/>
    <w:basedOn w:val="Style_5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5_ch"/>
    <w:link w:val="Style_1"/>
  </w:style>
  <w:style w:styleId="Style_54" w:type="paragraph">
    <w:name w:val="Subtitle"/>
    <w:next w:val="Style_5"/>
    <w:link w:val="Style_54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4_ch" w:type="character">
    <w:name w:val="Subtitle"/>
    <w:link w:val="Style_54"/>
    <w:rPr>
      <w:rFonts w:ascii="XO Thames" w:hAnsi="XO Thames"/>
      <w:i w:val="1"/>
      <w:color w:val="000000"/>
      <w:spacing w:val="0"/>
      <w:sz w:val="24"/>
    </w:rPr>
  </w:style>
  <w:style w:styleId="Style_55" w:type="paragraph">
    <w:name w:val="richfactdown-paragraph"/>
    <w:basedOn w:val="Style_5"/>
    <w:link w:val="Style_5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5_ch" w:type="character">
    <w:name w:val="richfactdown-paragraph"/>
    <w:basedOn w:val="Style_5_ch"/>
    <w:link w:val="Style_55"/>
    <w:rPr>
      <w:rFonts w:ascii="Times New Roman" w:hAnsi="Times New Roman"/>
      <w:sz w:val="24"/>
    </w:rPr>
  </w:style>
  <w:style w:styleId="Style_45" w:type="paragraph">
    <w:name w:val="Default Paragraph Font"/>
    <w:link w:val="Style_45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5_ch" w:type="character">
    <w:name w:val="Default Paragraph Font"/>
    <w:link w:val="Style_45"/>
    <w:rPr>
      <w:rFonts w:asciiTheme="minorAscii" w:hAnsiTheme="minorHAnsi"/>
      <w:color w:val="000000"/>
      <w:spacing w:val="0"/>
      <w:sz w:val="22"/>
    </w:rPr>
  </w:style>
  <w:style w:styleId="Style_56" w:type="paragraph">
    <w:name w:val="Title"/>
    <w:next w:val="Style_5"/>
    <w:link w:val="Style_56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color w:val="000000"/>
      <w:spacing w:val="0"/>
      <w:sz w:val="40"/>
    </w:rPr>
  </w:style>
  <w:style w:styleId="Style_57" w:type="paragraph">
    <w:name w:val="heading 4"/>
    <w:link w:val="Style_57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heading 2"/>
    <w:link w:val="Style_5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Contents 4"/>
    <w:link w:val="Style_59_ch"/>
    <w:rPr>
      <w:rFonts w:ascii="XO Thames" w:hAnsi="XO Thames"/>
      <w:sz w:val="28"/>
    </w:rPr>
  </w:style>
  <w:style w:styleId="Style_59_ch" w:type="character">
    <w:name w:val="Contents 4"/>
    <w:link w:val="Style_59"/>
    <w:rPr>
      <w:rFonts w:ascii="XO Thames" w:hAnsi="XO Thames"/>
      <w:sz w:val="28"/>
    </w:rPr>
  </w:style>
  <w:style w:styleId="Style_60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2025-05-14T05:01:37Z</dcterms:modified>
</cp:coreProperties>
</file>