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1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3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4020</w:t>
      </w:r>
      <w:r>
        <w:rPr>
          <w:spacing w:val="-4"/>
          <w:sz w:val="28"/>
        </w:rPr>
        <w:t>-П</w:t>
      </w:r>
    </w:p>
    <w:p w14:paraId="14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auto"/>
        <w:ind w:right="43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лагерей с дневным пребыванием детей в образовательных учреждениях, подведомственных Управлению образования администрации города Магнитогорска, в летний период 2025 года</w:t>
      </w:r>
    </w:p>
    <w:p w14:paraId="16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организации отдыха детей в летний период 2025 года,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соответствии с пунктом 13 части 1 статьи 16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06.10.2003 №131-ФЗ «Об общих принципах организации местного самоуправления в Российской Федерации», частью 1 статьи 12 Федерального закона от 24.07.1998 №124-ФЗ «Об основных гарантиях прав ребенка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Российской Федерации», постановлениями Главного государственного санитарного врача Российской Федерации от 28.09.2020 № 28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27.10.2020 № 32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руководствуясь Уставом города Магнитогорска,</w:t>
      </w: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дислокацию детских лагерей с дневным пребыванием детей в образовательных учреждениях, подведомственных Управлению образования администрации города Магнитогорска (далее – лагеря с дневным пребыванием), в летний период 2025 года (приложения № 1,2).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Установить: </w:t>
      </w:r>
    </w:p>
    <w:p w14:paraId="1C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категорию детей – в возрасте от 6 до 18 лет (включительно), обучающихся в образовательных учреждениях города Магнитогорска, за исключением обучающихся в учреждениях профессионального образования или детей, отдыхающих за счет средств федерального бюджета. Дети,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проживающие на территории города Магнитогорска и не обучающиеся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образовательных учреждениях города Магнитогорска, имеют право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приобретение путевки в лагерь с дневным пребыванием за полную </w:t>
      </w:r>
      <w:r>
        <w:rPr>
          <w:rFonts w:ascii="Times New Roman" w:hAnsi="Times New Roman"/>
          <w:sz w:val="28"/>
        </w:rPr>
        <w:t>стоимость согласно установленным тарифам;</w:t>
      </w:r>
    </w:p>
    <w:p w14:paraId="1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продолжительность смены в лагерях с дневным пребыванием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летний период 2025 года 21 календарный день (1 смена - 14 рабочих дней;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смена - 15 рабочих дней);</w:t>
      </w:r>
    </w:p>
    <w:p w14:paraId="1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источники финансирования организации отдыха в лагерях с дневным пребыванием в каникулярное время:</w:t>
      </w:r>
    </w:p>
    <w:p w14:paraId="1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субсидии муниципальным образовательным учреждениям на финансовое</w:t>
      </w:r>
      <w:r>
        <w:rPr>
          <w:rFonts w:ascii="Times New Roman" w:hAnsi="Times New Roman"/>
          <w:sz w:val="28"/>
        </w:rPr>
        <w:t xml:space="preserve"> обеспечение выполнения ими муниципального задания, рассчитанные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учетом нормативных затрат на оказание ими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организации отдыха и оздоровления обучающихся, в том числе полученных из средств бюджета области в виде субсидий местным бюджетам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организацию отдыха детей в каникулярное время;</w:t>
      </w:r>
    </w:p>
    <w:p w14:paraId="2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субсидии муниципальным образовательным учреждениям на финансовое</w:t>
      </w:r>
      <w:r>
        <w:rPr>
          <w:rFonts w:ascii="Times New Roman" w:hAnsi="Times New Roman"/>
          <w:sz w:val="28"/>
        </w:rPr>
        <w:t xml:space="preserve"> обеспечение выполнения ими муниципального задания, рассчитанные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учетом нормативных затрат на оказание ими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присмотру и уходу;</w:t>
      </w:r>
    </w:p>
    <w:p w14:paraId="2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субсидии, предоставляемые из бюджета города Магнитогорска муниципальным бюджетным и муниципальным автономным учреждениям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иные цели;</w:t>
      </w:r>
    </w:p>
    <w:p w14:paraId="2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бюджета;</w:t>
      </w:r>
    </w:p>
    <w:p w14:paraId="2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родительская плата за присмотр и уход, нормы питания в лагерях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дневным пребыванием детей в образовательных учреждениях, подведомственных Управлению образования администрации города Магнитогорска (устанавливается постановлением администрации города Магнитогорска).</w:t>
      </w:r>
    </w:p>
    <w:p w14:paraId="2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Управлению образования администрации города Магнитогорска (</w:t>
      </w:r>
      <w:r>
        <w:rPr>
          <w:rFonts w:ascii="Times New Roman" w:hAnsi="Times New Roman"/>
          <w:sz w:val="28"/>
        </w:rPr>
        <w:t>Гофштейн</w:t>
      </w:r>
      <w:r>
        <w:rPr>
          <w:rFonts w:ascii="Times New Roman" w:hAnsi="Times New Roman"/>
          <w:sz w:val="28"/>
        </w:rPr>
        <w:t xml:space="preserve"> О.Г.) не допускать открытие лагерей с дневным пребыванием без приемки их межведомственной комиссией и без включения их в Реестр организаций отдыха детей и их оздоровления Челябинской области.</w:t>
      </w:r>
    </w:p>
    <w:p w14:paraId="2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Руководителям образовательных учреждений, подведомственных Управлению образования администрации города Магнитогорска:</w:t>
      </w:r>
    </w:p>
    <w:p w14:paraId="2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своевременную и качественную подготовку образовательных учреждений для работы лагерей с дневным пребыванием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летний период 2025 года, обеспечив выполнение предписаний органов санитарно-эпидемиологического надзора по подготовке организаций отдыха детей и их оздоровления в полном объеме, обратив особое внимание на подготовку систем водоснабжения и пищеблоков, проведение </w:t>
      </w:r>
      <w:r>
        <w:rPr>
          <w:rFonts w:ascii="Times New Roman" w:hAnsi="Times New Roman"/>
          <w:sz w:val="28"/>
        </w:rPr>
        <w:t>акарицидной</w:t>
      </w:r>
      <w:r>
        <w:rPr>
          <w:rFonts w:ascii="Times New Roman" w:hAnsi="Times New Roman"/>
          <w:sz w:val="28"/>
        </w:rPr>
        <w:t xml:space="preserve"> обработки территории, осуществление контроля эффективности </w:t>
      </w:r>
      <w:r>
        <w:rPr>
          <w:rFonts w:ascii="Times New Roman" w:hAnsi="Times New Roman"/>
          <w:sz w:val="28"/>
        </w:rPr>
        <w:t>акарицидных</w:t>
      </w:r>
      <w:r>
        <w:rPr>
          <w:rFonts w:ascii="Times New Roman" w:hAnsi="Times New Roman"/>
          <w:sz w:val="28"/>
        </w:rPr>
        <w:t xml:space="preserve"> обработок и энтомологических обследований территории;</w:t>
      </w:r>
    </w:p>
    <w:p w14:paraId="2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создать безопасные условия пребывания детей, присмотра и ухода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ними (комплекс мер по организации питания и хозяйственно-бытового обслуживания детей, обеспечению соблюдения ими личной гигиены и режима дня), перевозки к местам отдыха и обратно, содержания детей в соответствии с установленными санитарно-эпидемиологическими и иными требованиями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нормами, обеспечивающими жизнь и здоровье детей, работников образовательных учреждений и их оздоровления, включая соблюдение требований обеспечения пожарной безопасности и антитеррористической защищенности, наличие охраны, а также обеспечить наличие заключения, подтверждающего соответствие деятельности лагеря с дневным пребыванием санитарному законодательству,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потребителей;</w:t>
      </w:r>
    </w:p>
    <w:p w14:paraId="2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провести ревизию электропроводки, электротехнического оборудования, а также провести измерения сопротивления изоляции на всех распределительных и групповых кабельных линиях, электроустановок зданий, с привлечением уполномоченных организаций и составлением соответствующих протоколов замеров сопротивления изоляции;</w:t>
      </w:r>
    </w:p>
    <w:p w14:paraId="2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принять меры по подбору квалифицированных педагогических кадров, соответствующих профессиональным стандартам или квалификационным требованиям в соответствии с трудовым законодательством, прошедших профессиональную гигиеническую подготовку, медицинский осмотр и вакцинацию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Национальным календарем профилактических прививок и календарем профилактических прививок по эпидемическим показаниям, в том числе против клещевого вирусного энцефалита (п. 4.1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Предписани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Главного Государственного санитарного врача по Челябинской области от 04.03.2025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 «О дополнительных противоэпидемических (профилактических) мероприятиях в очаге клещевых инфекций в Челябинской области в сезон 2025 года»); обеспечить контроль за допуском к трудовой деятельности персонала, в том числе привлекаемого к временной работе, с целью исключения возможности допуска к занятиям с детьми и подростками лиц, лишенных права на занятие трудовой деятельности в сфере образования несовершеннолетних, организации их отдыха и оздоровления, медицинского обеспечения, спорта, культуры и искусства в соответствии с требованиями статьи 351.1 Трудового кодекса Российской Федерации;</w:t>
      </w:r>
    </w:p>
    <w:p w14:paraId="2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полноценное питание детей, безопасность их жизни, противопожарную безопасность в лагерях с дневным пребыванием;</w:t>
      </w:r>
    </w:p>
    <w:p w14:paraId="2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в лагерях с дневным пребыванием производственный контроль соблюдения санитарных правил и выполнения санитарно-противоэпидемических (профилактических) мероприятий;</w:t>
      </w:r>
    </w:p>
    <w:p w14:paraId="2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организовать проведение инструктажей и тренировок по отработке действий по эвакуации людей в случае пожара, не реже 2 (двух) раз в каждой смене;</w:t>
      </w:r>
    </w:p>
    <w:p w14:paraId="2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своевременное информирование территориального отдела Управления </w:t>
      </w: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 Челябинской области </w:t>
      </w:r>
      <w:r>
        <w:rPr>
          <w:rFonts w:ascii="Times New Roman" w:hAnsi="Times New Roman"/>
          <w:sz w:val="28"/>
          <w:highlight w:val="white"/>
        </w:rPr>
        <w:t xml:space="preserve">в городе Магнитогорске, </w:t>
      </w:r>
      <w:r>
        <w:rPr>
          <w:rFonts w:ascii="Times New Roman" w:hAnsi="Times New Roman"/>
          <w:sz w:val="28"/>
          <w:highlight w:val="white"/>
        </w:rPr>
        <w:t>Агаповском</w:t>
      </w:r>
      <w:r>
        <w:rPr>
          <w:rFonts w:ascii="Times New Roman" w:hAnsi="Times New Roman"/>
          <w:sz w:val="28"/>
          <w:highlight w:val="white"/>
        </w:rPr>
        <w:t xml:space="preserve">, Кизильском, </w:t>
      </w:r>
      <w:r>
        <w:rPr>
          <w:rFonts w:ascii="Times New Roman" w:hAnsi="Times New Roman"/>
          <w:sz w:val="28"/>
          <w:highlight w:val="white"/>
        </w:rPr>
        <w:t>Нагайбакском</w:t>
      </w:r>
      <w:r>
        <w:rPr>
          <w:rFonts w:ascii="Times New Roman" w:hAnsi="Times New Roman"/>
          <w:sz w:val="28"/>
          <w:highlight w:val="white"/>
        </w:rPr>
        <w:t xml:space="preserve">, Верхнеуральском, </w:t>
      </w:r>
      <w:r>
        <w:rPr>
          <w:rFonts w:ascii="Times New Roman" w:hAnsi="Times New Roman"/>
          <w:sz w:val="28"/>
          <w:highlight w:val="white"/>
        </w:rPr>
        <w:t>Карталинском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Брединском</w:t>
      </w:r>
      <w:r>
        <w:rPr>
          <w:rFonts w:ascii="Times New Roman" w:hAnsi="Times New Roman"/>
          <w:sz w:val="28"/>
          <w:highlight w:val="white"/>
        </w:rPr>
        <w:t xml:space="preserve"> и </w:t>
      </w:r>
      <w:r>
        <w:rPr>
          <w:rFonts w:ascii="Times New Roman" w:hAnsi="Times New Roman"/>
          <w:sz w:val="28"/>
          <w:highlight w:val="white"/>
        </w:rPr>
        <w:t>Варненском</w:t>
      </w:r>
      <w:r>
        <w:rPr>
          <w:rFonts w:ascii="Times New Roman" w:hAnsi="Times New Roman"/>
          <w:sz w:val="28"/>
          <w:highlight w:val="white"/>
        </w:rPr>
        <w:t xml:space="preserve"> районах</w:t>
      </w:r>
      <w:r>
        <w:rPr>
          <w:rFonts w:ascii="Times New Roman" w:hAnsi="Times New Roman"/>
          <w:sz w:val="28"/>
        </w:rPr>
        <w:t xml:space="preserve"> о планируемых сроках </w:t>
      </w:r>
      <w:r>
        <w:rPr>
          <w:rFonts w:ascii="Times New Roman" w:hAnsi="Times New Roman"/>
          <w:sz w:val="28"/>
        </w:rPr>
        <w:t xml:space="preserve">заездов детей, режиме работы, численности детей (не позднее чем за 1 месяц до открытия сезона), а также об аварийных и критических ситуациях, создающих угрозу санитарно-эпидемиологическому благополучию детей </w:t>
      </w:r>
      <w:r>
        <w:rPr>
          <w:rFonts w:ascii="Times New Roman" w:hAnsi="Times New Roman"/>
          <w:spacing w:val="-4"/>
          <w:sz w:val="28"/>
        </w:rPr>
        <w:t>(аварии на системах водоснабжения, канализации, отключение электроэнергии,</w:t>
      </w:r>
      <w:r>
        <w:rPr>
          <w:rFonts w:ascii="Times New Roman" w:hAnsi="Times New Roman"/>
          <w:sz w:val="28"/>
        </w:rPr>
        <w:t xml:space="preserve"> регистрации инфекционных и неинфекционных заболеваний);</w:t>
      </w:r>
    </w:p>
    <w:p w14:paraId="2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осуществлять прием детей при наличии справки о состоянии здоровья ребенка, содержащую в том числе сведения об отсутствии в течение 21 календарного дня контактов с больными инфекционными заболеваниями (указанные сведения вносятся в справку не ранее чем за 3 рабочих дня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направления в лагерь с дневным пребыванием</w:t>
      </w:r>
      <w:r>
        <w:rPr>
          <w:rFonts w:ascii="Times New Roman" w:hAnsi="Times New Roman"/>
          <w:color w:themeColor="accent1" w:val="4F81BD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Территориальному отделу ГКУЗ «Центр по координации деятельности медицинских организаций Челябинской области» по г. Магнитогорску (Симонова Е.Н.):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оказание первичной медико-санитарной помощи несовершеннолетним в период отдыха и оздоровления в лагерях дневного пребывания детей в образовательных учреждениях;</w:t>
      </w:r>
    </w:p>
    <w:p w14:paraId="3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контроль комплектования медицинскими работниками лагерей дневного пребывания детей в образовательных учреждениях.</w:t>
      </w:r>
    </w:p>
    <w:p w14:paraId="3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Организации, осуществляющей питание в лагерях с дневным пребыванием:</w:t>
      </w:r>
    </w:p>
    <w:p w14:paraId="3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обеспечить лагеря с дневным пребыванием качественными продуктами питания, своевременное размещение заказов на поставку продуктов питания и формирование реестра поставщиков продуктов;</w:t>
      </w:r>
    </w:p>
    <w:p w14:paraId="3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обеспечить обогащение рациона питания детей микронутриентами, витаминизацию блюд, а также использование поваренной пищевой йодированной соли при приготовлении блюд и кулинарных изделий; </w:t>
      </w:r>
    </w:p>
    <w:p w14:paraId="3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осуществлять контроль качества поступающих продуктов, правильность закладки продуктов и приготовления готовой продукции;</w:t>
      </w:r>
    </w:p>
    <w:p w14:paraId="3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осуществлять отбор и хранение суточных проб назначенным ответственным лицом из состава своих работников;</w:t>
      </w:r>
    </w:p>
    <w:p w14:paraId="3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осуществлять прием на работу сотрудников пищеблоков, а также сотрудников, деятельность которых связана с производством, хранением, транспортировкой, реализацией пищевых продуктов и питьевой воды, а также лиц, осуществляющих эксплуатацию водопроводных сооружений, при обязательном обследовании на возбудителей острых кишечных инфекций бактериальной и вирусной этиологии перед началом оздоровительного сезона и при поступлении на работу в течение оздоровительного сезона;</w:t>
      </w:r>
    </w:p>
    <w:p w14:paraId="3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утверждать меню с обязательным согласованием меню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с руководителями образовательных учреждений, на базе которых организованы</w:t>
      </w:r>
      <w:r>
        <w:rPr>
          <w:rFonts w:ascii="Times New Roman" w:hAnsi="Times New Roman"/>
          <w:sz w:val="28"/>
        </w:rPr>
        <w:t xml:space="preserve"> лагеря с дневным пребыванием.</w:t>
      </w:r>
    </w:p>
    <w:p w14:paraId="3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территориальному отделу Управления </w:t>
      </w: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 Челябинской области в городе Магнитогорске, </w:t>
      </w:r>
      <w:r>
        <w:rPr>
          <w:rFonts w:ascii="Times New Roman" w:hAnsi="Times New Roman"/>
          <w:sz w:val="28"/>
        </w:rPr>
        <w:t>Агаповском</w:t>
      </w:r>
      <w:r>
        <w:rPr>
          <w:rFonts w:ascii="Times New Roman" w:hAnsi="Times New Roman"/>
          <w:sz w:val="28"/>
        </w:rPr>
        <w:t xml:space="preserve">, Кизильском, </w:t>
      </w:r>
      <w:r>
        <w:rPr>
          <w:rFonts w:ascii="Times New Roman" w:hAnsi="Times New Roman"/>
          <w:sz w:val="28"/>
        </w:rPr>
        <w:t>Нагайбакском</w:t>
      </w:r>
      <w:r>
        <w:rPr>
          <w:rFonts w:ascii="Times New Roman" w:hAnsi="Times New Roman"/>
          <w:sz w:val="28"/>
        </w:rPr>
        <w:t xml:space="preserve">, Верхнеуральском, </w:t>
      </w:r>
      <w:r>
        <w:rPr>
          <w:rFonts w:ascii="Times New Roman" w:hAnsi="Times New Roman"/>
          <w:sz w:val="28"/>
        </w:rPr>
        <w:t>Карталинском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</w:t>
      </w:r>
      <w:r>
        <w:rPr>
          <w:rFonts w:ascii="Times New Roman" w:hAnsi="Times New Roman"/>
          <w:sz w:val="28"/>
        </w:rPr>
        <w:t xml:space="preserve"> районах (Булакова Л.М.) осуществлять </w:t>
      </w:r>
      <w:r>
        <w:rPr>
          <w:rFonts w:ascii="Times New Roman" w:hAnsi="Times New Roman"/>
          <w:sz w:val="28"/>
        </w:rPr>
        <w:t xml:space="preserve">профилактические и контрольно-надзорные мероприятия по соблюдению требований санитарного законодательства в лагерях с дневным пребыванием, выполнению мероприятий по профилактике массовых пищевых отравлений и кишечных инфекционных заболеваний, обратив особое внимание на работу пищеблоков. </w:t>
      </w:r>
    </w:p>
    <w:p w14:paraId="3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3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3C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3D000000">
      <w:pPr>
        <w:widowControl w:val="0"/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3E000000">
      <w:pPr>
        <w:widowControl w:val="0"/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3F000000">
      <w:pPr>
        <w:widowControl w:val="0"/>
        <w:tabs>
          <w:tab w:leader="none" w:pos="1134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4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5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B000000">
      <w:pPr>
        <w:sectPr>
          <w:headerReference r:id="rId1" w:type="defaul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5C000000">
      <w:pPr>
        <w:spacing w:after="0" w:line="240" w:lineRule="auto"/>
        <w:ind w:firstLine="6803" w:left="39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5D000000">
      <w:pPr>
        <w:spacing w:after="0" w:line="240" w:lineRule="auto"/>
        <w:ind w:firstLine="6803" w:left="39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E000000">
      <w:pPr>
        <w:spacing w:after="0" w:line="240" w:lineRule="auto"/>
        <w:ind w:firstLine="6803" w:left="39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5F000000">
      <w:pPr>
        <w:spacing w:after="0" w:line="240" w:lineRule="auto"/>
        <w:ind w:firstLine="6803" w:left="39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06.05.2025 № 4020-П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Дислокация лагерей с дневным пребыванием детей в образовательных учреждениях,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 Управлению образования администрации города Магнитогорска,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летний период 2025 года (за исключением путевок, предоставляемых на основании Решения Магнитогорского городского Собрания депутатов Челябинской области от 25 октября 2022 г. № 151)</w:t>
      </w:r>
    </w:p>
    <w:p w14:paraId="6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-289"/>
        <w:tblLayout w:type="fixed"/>
      </w:tblPr>
      <w:tblGrid>
        <w:gridCol w:w="539"/>
        <w:gridCol w:w="2253"/>
        <w:gridCol w:w="1434"/>
        <w:gridCol w:w="1009"/>
        <w:gridCol w:w="716"/>
        <w:gridCol w:w="1262"/>
        <w:gridCol w:w="715"/>
        <w:gridCol w:w="1146"/>
        <w:gridCol w:w="1097"/>
        <w:gridCol w:w="1029"/>
        <w:gridCol w:w="666"/>
        <w:gridCol w:w="1036"/>
        <w:gridCol w:w="709"/>
        <w:gridCol w:w="1133"/>
      </w:tblGrid>
      <w:tr>
        <w:trPr>
          <w:trHeight w:hRule="atLeast" w:val="660"/>
        </w:trPr>
        <w:tc>
          <w:tcPr>
            <w:tcW w:type="dxa" w:w="5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2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type="dxa" w:w="628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смена</w:t>
            </w:r>
          </w:p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02.06.2025-23.06.2025</w:t>
            </w:r>
          </w:p>
        </w:tc>
        <w:tc>
          <w:tcPr>
            <w:tcW w:type="dxa" w:w="56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смена</w:t>
            </w:r>
          </w:p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26.06.2025-16.07.2025</w:t>
            </w:r>
          </w:p>
        </w:tc>
      </w:tr>
      <w:tr>
        <w:trPr>
          <w:trHeight w:hRule="atLeast" w:val="660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путевок в лагере дневного пребывания на базе ОУ</w:t>
            </w:r>
          </w:p>
        </w:tc>
        <w:tc>
          <w:tcPr>
            <w:tcW w:type="dxa" w:w="10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льготные путевки</w:t>
            </w:r>
          </w:p>
        </w:tc>
        <w:tc>
          <w:tcPr>
            <w:tcW w:type="dxa" w:w="38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путевок в лагере дневного пребывания на базе ОУ</w:t>
            </w:r>
          </w:p>
        </w:tc>
        <w:tc>
          <w:tcPr>
            <w:tcW w:type="dxa" w:w="10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льготные путевки</w:t>
            </w:r>
          </w:p>
        </w:tc>
        <w:tc>
          <w:tcPr>
            <w:tcW w:type="dxa" w:w="35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46"/>
        </w:trPr>
        <w:tc>
          <w:tcPr>
            <w:tcW w:type="dxa" w:w="5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6-11 лет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6-11 лет льготные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12-18 лет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12-18 лет льготные</w:t>
            </w:r>
          </w:p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6-11 лет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6-11 лет льготные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12-18 лет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12-18 лет льготные</w:t>
            </w:r>
          </w:p>
        </w:tc>
      </w:tr>
      <w:tr>
        <w:trPr>
          <w:trHeight w:hRule="atLeast" w:val="300"/>
        </w:trPr>
        <w:tc>
          <w:tcPr>
            <w:tcW w:type="dxa" w:w="1474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Орджоникидзевский район</w:t>
            </w:r>
          </w:p>
        </w:tc>
      </w:tr>
      <w:tr>
        <w:trPr>
          <w:trHeight w:hRule="atLeast" w:val="1541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«Специальная (коррекционная) общеобразовательная школа-интернат № 3»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7 им. Д.П. Галкина»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10 имени В.П. Поляничко»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16»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«Гимназия № 18»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20»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школа № 21» города Магнитогорска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31»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32»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40»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42»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47»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50»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54»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школа № 59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им. И. </w:t>
            </w:r>
            <w:r>
              <w:rPr>
                <w:rFonts w:ascii="Times New Roman" w:hAnsi="Times New Roman"/>
                <w:sz w:val="20"/>
              </w:rPr>
              <w:t>Ромазана</w:t>
            </w:r>
            <w:r>
              <w:rPr>
                <w:rFonts w:ascii="Times New Roman" w:hAnsi="Times New Roman"/>
                <w:sz w:val="20"/>
              </w:rPr>
              <w:t>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62»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64 имени </w:t>
            </w:r>
            <w:r>
              <w:rPr>
                <w:rFonts w:ascii="Times New Roman" w:hAnsi="Times New Roman"/>
                <w:sz w:val="20"/>
              </w:rPr>
              <w:t>Б.Ручьева</w:t>
            </w:r>
            <w:r>
              <w:rPr>
                <w:rFonts w:ascii="Times New Roman" w:hAnsi="Times New Roman"/>
                <w:sz w:val="20"/>
              </w:rPr>
              <w:t>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67»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2092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1474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Правобережный район</w:t>
            </w: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5 с углубленным изучением математики»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8»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12»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14»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28»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6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33 с углубленным изучением английского языка»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школа № 61» города </w:t>
            </w:r>
            <w:r>
              <w:rPr>
                <w:rFonts w:ascii="Times New Roman" w:hAnsi="Times New Roman"/>
                <w:sz w:val="20"/>
              </w:rPr>
              <w:t>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63»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6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65 им. Б.П. </w:t>
            </w:r>
            <w:r>
              <w:rPr>
                <w:rFonts w:ascii="Times New Roman" w:hAnsi="Times New Roman"/>
                <w:sz w:val="20"/>
              </w:rPr>
              <w:t>Агапитова</w:t>
            </w:r>
            <w:r>
              <w:rPr>
                <w:rFonts w:ascii="Times New Roman" w:hAnsi="Times New Roman"/>
                <w:sz w:val="20"/>
              </w:rPr>
              <w:t xml:space="preserve"> с углубленным изучением предметов музыкально-эстетического цикла»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66»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</w:t>
            </w:r>
            <w:r>
              <w:rPr>
                <w:rFonts w:ascii="Times New Roman" w:hAnsi="Times New Roman"/>
                <w:sz w:val="20"/>
              </w:rPr>
              <w:t>ие дополнительного образования «Детско-юношеский центр «Максимум»</w:t>
            </w:r>
            <w:r>
              <w:rPr>
                <w:rFonts w:ascii="Times New Roman" w:hAnsi="Times New Roman"/>
                <w:sz w:val="20"/>
              </w:rPr>
              <w:t xml:space="preserve"> города </w:t>
            </w:r>
            <w:r>
              <w:rPr>
                <w:rFonts w:ascii="Times New Roman" w:hAnsi="Times New Roman"/>
                <w:sz w:val="20"/>
              </w:rPr>
              <w:t>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дополнительного</w:t>
            </w:r>
            <w:r>
              <w:rPr>
                <w:rFonts w:ascii="Times New Roman" w:hAnsi="Times New Roman"/>
                <w:sz w:val="20"/>
              </w:rPr>
              <w:t xml:space="preserve"> образования  «</w:t>
            </w:r>
            <w:r>
              <w:rPr>
                <w:rFonts w:ascii="Times New Roman" w:hAnsi="Times New Roman"/>
                <w:sz w:val="20"/>
              </w:rPr>
              <w:t>Правобережный центр до</w:t>
            </w:r>
            <w:r>
              <w:rPr>
                <w:rFonts w:ascii="Times New Roman" w:hAnsi="Times New Roman"/>
                <w:sz w:val="20"/>
              </w:rPr>
              <w:t>полнительного образования детей»</w:t>
            </w:r>
            <w:r>
              <w:rPr>
                <w:rFonts w:ascii="Times New Roman" w:hAnsi="Times New Roman"/>
                <w:sz w:val="20"/>
              </w:rPr>
              <w:t xml:space="preserve">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rPr>
          <w:trHeight w:hRule="atLeast" w:val="315"/>
        </w:trPr>
        <w:tc>
          <w:tcPr>
            <w:tcW w:type="dxa" w:w="14744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Ленинский район</w:t>
            </w: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3»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13 имени Ю.А. Гагарина»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</w:t>
            </w:r>
            <w:r>
              <w:rPr>
                <w:rFonts w:ascii="Times New Roman" w:hAnsi="Times New Roman"/>
                <w:sz w:val="20"/>
              </w:rPr>
              <w:t>школа № 60»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41»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48»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«Гимназия № 53»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общеобразовательное учреждение «Средняя общеобразовательная школа № 55»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«Средняя общеобразовательная школа № 56 с </w:t>
            </w:r>
            <w:r>
              <w:rPr>
                <w:rFonts w:ascii="Times New Roman" w:hAnsi="Times New Roman"/>
                <w:sz w:val="20"/>
              </w:rPr>
              <w:t xml:space="preserve">углубленным изучением математики» города Магнитогорска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6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общеобразовательное учреждение «Магнитогорский городской многопрофильный лицей при Магнитогорском государственном техническом университете (МГТУ) им. Г.И. Носова» 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45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Дво</w:t>
            </w:r>
            <w:r>
              <w:rPr>
                <w:rFonts w:ascii="Times New Roman" w:hAnsi="Times New Roman"/>
                <w:sz w:val="20"/>
              </w:rPr>
              <w:t>рец творчества детей и молодежи»</w:t>
            </w:r>
            <w:r>
              <w:rPr>
                <w:rFonts w:ascii="Times New Roman" w:hAnsi="Times New Roman"/>
                <w:sz w:val="20"/>
              </w:rPr>
              <w:t xml:space="preserve"> города Магнитогорска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80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6275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1284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1725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1176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 w14:paraId="F2020000"/>
    <w:p w14:paraId="F3020000">
      <w:pPr>
        <w:sectPr>
          <w:headerReference r:id="rId4" w:type="default"/>
          <w:headerReference r:id="rId7" w:type="first"/>
          <w:footerReference r:id="rId5" w:type="default"/>
          <w:footerReference r:id="rId8" w:type="first"/>
          <w:pgSz w:h="11906" w:orient="landscape" w:w="16838"/>
          <w:pgMar w:bottom="1134" w:footer="709" w:gutter="0" w:header="709" w:left="1701" w:right="850" w:top="1134"/>
          <w:pgNumType w:start="1"/>
          <w:titlePg/>
        </w:sectPr>
      </w:pPr>
    </w:p>
    <w:p w14:paraId="F402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F502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602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F702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06.05.2025 № 4020-П</w:t>
      </w:r>
    </w:p>
    <w:p w14:paraId="F8020000">
      <w:pPr>
        <w:widowControl w:val="0"/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</w:p>
    <w:p w14:paraId="F9020000">
      <w:pPr>
        <w:widowControl w:val="0"/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</w:p>
    <w:p w14:paraId="FA020000">
      <w:pPr>
        <w:widowControl w:val="0"/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</w:p>
    <w:p w14:paraId="FB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Дислокация лагерей с дневным пребыванием детей в образовательных учреждениях,</w:t>
      </w:r>
    </w:p>
    <w:p w14:paraId="FC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 Управлению образования администрации города Магнитогорска,</w:t>
      </w:r>
    </w:p>
    <w:p w14:paraId="FD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летний период 2025 года (в части количества путевок, предоставляемых на основании Решения Магнитогорского городского Собрания депутатов Челябинской области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 25 октября 2022 г. № 151)</w:t>
      </w:r>
    </w:p>
    <w:p w14:paraId="FE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860"/>
        <w:gridCol w:w="3644"/>
        <w:gridCol w:w="1335"/>
        <w:gridCol w:w="1334"/>
        <w:gridCol w:w="1088"/>
        <w:gridCol w:w="1083"/>
      </w:tblGrid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0"/>
              <w:spacing w:after="0" w:line="240" w:lineRule="auto"/>
              <w:ind w:hanging="319" w:left="3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type="dxa" w:w="2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смена </w:t>
            </w:r>
          </w:p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02.06.25-23.06.25</w:t>
            </w:r>
          </w:p>
        </w:tc>
        <w:tc>
          <w:tcPr>
            <w:tcW w:type="dxa" w:w="21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смена </w:t>
            </w:r>
          </w:p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26.06.25-16.07.25</w:t>
            </w:r>
          </w:p>
        </w:tc>
      </w:tr>
      <w:tr>
        <w:tc>
          <w:tcPr>
            <w:tcW w:type="dxa" w:w="4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лет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 лет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12-18 лет</w:t>
            </w:r>
          </w:p>
        </w:tc>
      </w:tr>
      <w:t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Орджоникидзевский район</w:t>
            </w: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widowControl w:val="0"/>
              <w:spacing w:after="0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«Специальная (коррекционная) общеобразовательная школа-интернат № 3»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7 им. Д.П. Галкина»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10»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16»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«Гимназия № 18»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20»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21»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31»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32»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40»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42»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47»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50»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54»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59 им. И. </w:t>
            </w:r>
            <w:r>
              <w:rPr>
                <w:rFonts w:ascii="Times New Roman" w:hAnsi="Times New Roman"/>
              </w:rPr>
              <w:t>Ромазана</w:t>
            </w:r>
            <w:r>
              <w:rPr>
                <w:rFonts w:ascii="Times New Roman" w:hAnsi="Times New Roman"/>
              </w:rPr>
              <w:t>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62»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64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имени Б. </w:t>
            </w:r>
            <w:r>
              <w:rPr>
                <w:rFonts w:ascii="Times New Roman" w:hAnsi="Times New Roman"/>
              </w:rPr>
              <w:t>Ручьева</w:t>
            </w:r>
            <w:r>
              <w:rPr>
                <w:rFonts w:ascii="Times New Roman" w:hAnsi="Times New Roman"/>
              </w:rPr>
              <w:t>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67»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Правобережный район</w:t>
            </w: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 УИМ»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8»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12»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14»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28»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общеобразовательное учреждение «Средняя общеобразовательная школа № 33 с углубленным </w:t>
            </w:r>
            <w:r>
              <w:rPr>
                <w:rFonts w:ascii="Times New Roman" w:hAnsi="Times New Roman"/>
              </w:rPr>
              <w:t>изучением английского языка»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61»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63»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65 им. Б.П. </w:t>
            </w:r>
            <w:r>
              <w:rPr>
                <w:rFonts w:ascii="Times New Roman" w:hAnsi="Times New Roman"/>
              </w:rPr>
              <w:t>Агапитова</w:t>
            </w:r>
            <w:r>
              <w:rPr>
                <w:rFonts w:ascii="Times New Roman" w:hAnsi="Times New Roman"/>
              </w:rPr>
              <w:t xml:space="preserve"> с углубленным изучением предметов музыкально-эстетического цикла»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66»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дополнительного образования «Детско-юношеский центр «Максимум»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дополнительного образования «Правобережный центр дополнительного образования детей»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Ленинский район</w:t>
            </w:r>
          </w:p>
        </w:tc>
      </w:tr>
      <w:tr>
        <w:trPr>
          <w:trHeight w:hRule="atLeast" w:val="1176"/>
        </w:trP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3»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13 имени Ю.А. Гагарина»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60»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41»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«Гимназия № 53»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55»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56 с углубленным изучением математики»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«Магнитогорский городской многопрофильный лицей при Магнитогорском государственном техническом университете (МГТУ) им. Г.И. Носова»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ДО «Дворец творчества детей и молодежи» г.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 48» города Магнитогорска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45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1A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B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C040000">
      <w:bookmarkStart w:id="1" w:name="_GoBack"/>
      <w:bookmarkEnd w:id="1"/>
    </w:p>
    <w:p w14:paraId="1D040000">
      <w:pPr>
        <w:widowControl w:val="0"/>
        <w:spacing w:after="0" w:line="240" w:lineRule="auto"/>
        <w:ind w:firstLine="4677" w:left="0"/>
        <w:jc w:val="both"/>
        <w:rPr>
          <w:rFonts w:ascii="Times New Roman" w:hAnsi="Times New Roman"/>
          <w:sz w:val="20"/>
        </w:rPr>
      </w:pPr>
    </w:p>
    <w:sectPr>
      <w:headerReference r:id="rId2" w:type="default"/>
      <w:headerReference r:id="rId9" w:type="first"/>
      <w:footerReference r:id="rId3" w:type="default"/>
      <w:footerReference r:id="rId10" w:type="first"/>
      <w:pgSz w:h="16838" w:orient="portrait" w:w="11906"/>
      <w:pgMar w:bottom="1134" w:footer="709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Вр-2071087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Вр-2071087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Вр-2071087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rFonts w:ascii="Times New Roman" w:hAnsi="Times New Roman"/>
      </w:rPr>
    </w:pPr>
  </w:p>
  <w:p w14:paraId="0B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</w:rPr>
    </w:pPr>
  </w:p>
  <w:p w14:paraId="0E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Нижний колонтитул1"/>
    <w:link w:val="Style_7_ch"/>
  </w:style>
  <w:style w:styleId="Style_7_ch" w:type="character">
    <w:name w:val="Нижний колонтитул1"/>
    <w:link w:val="Style_7"/>
  </w:style>
  <w:style w:styleId="Style_8" w:type="paragraph">
    <w:name w:val="Верхний колонтитул1"/>
    <w:link w:val="Style_8_ch"/>
  </w:style>
  <w:style w:styleId="Style_8_ch" w:type="character">
    <w:name w:val="Верхний колонтитул1"/>
    <w:link w:val="Style_8"/>
  </w:style>
  <w:style w:styleId="Style_9" w:type="paragraph">
    <w:name w:val="toc 6"/>
    <w:next w:val="Style_4"/>
    <w:link w:val="Style_9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tents 7"/>
    <w:link w:val="Style_11_ch"/>
    <w:rPr>
      <w:rFonts w:ascii="XO Thames" w:hAnsi="XO Thames"/>
      <w:sz w:val="28"/>
    </w:rPr>
  </w:style>
  <w:style w:styleId="Style_11_ch" w:type="character">
    <w:name w:val="Contents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"/>
    <w:basedOn w:val="Style_4"/>
    <w:link w:val="Style_14_ch"/>
    <w:pPr>
      <w:spacing w:after="140"/>
      <w:ind/>
    </w:pPr>
  </w:style>
  <w:style w:styleId="Style_14_ch" w:type="character">
    <w:name w:val="Body Text"/>
    <w:basedOn w:val="Style_4_ch"/>
    <w:link w:val="Style_1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Заголовок 31"/>
    <w:link w:val="Style_16_ch"/>
    <w:rPr>
      <w:rFonts w:ascii="XO Thames" w:hAnsi="XO Thames"/>
      <w:b w:val="1"/>
      <w:sz w:val="26"/>
    </w:rPr>
  </w:style>
  <w:style w:styleId="Style_16_ch" w:type="character">
    <w:name w:val="Заголовок 31"/>
    <w:link w:val="Style_16"/>
    <w:rPr>
      <w:rFonts w:ascii="XO Thames" w:hAnsi="XO Thames"/>
      <w:b w:val="1"/>
      <w:sz w:val="26"/>
    </w:rPr>
  </w:style>
  <w:style w:styleId="Style_17" w:type="paragraph">
    <w:name w:val="index heading"/>
    <w:basedOn w:val="Style_4"/>
    <w:link w:val="Style_17_ch"/>
    <w:rPr>
      <w:rFonts w:ascii="PT Astra Serif" w:hAnsi="PT Astra Serif"/>
    </w:rPr>
  </w:style>
  <w:style w:styleId="Style_17_ch" w:type="character">
    <w:name w:val="index heading"/>
    <w:basedOn w:val="Style_4_ch"/>
    <w:link w:val="Style_17"/>
    <w:rPr>
      <w:rFonts w:ascii="PT Astra Serif" w:hAnsi="PT Astra Serif"/>
    </w:rPr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Заголовок 11"/>
    <w:link w:val="Style_19_ch"/>
    <w:rPr>
      <w:rFonts w:ascii="XO Thames" w:hAnsi="XO Thames"/>
      <w:b w:val="1"/>
      <w:sz w:val="32"/>
    </w:rPr>
  </w:style>
  <w:style w:styleId="Style_19_ch" w:type="character">
    <w:name w:val="Заголовок 1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Заголовок 51"/>
    <w:link w:val="Style_21_ch"/>
    <w:rPr>
      <w:rFonts w:ascii="XO Thames" w:hAnsi="XO Thames"/>
      <w:b w:val="1"/>
    </w:rPr>
  </w:style>
  <w:style w:styleId="Style_21_ch" w:type="character">
    <w:name w:val="Заголовок 51"/>
    <w:link w:val="Style_21"/>
    <w:rPr>
      <w:rFonts w:ascii="XO Thames" w:hAnsi="XO Thames"/>
      <w:b w:val="1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Колонтитул"/>
    <w:link w:val="Style_23_ch"/>
    <w:pPr>
      <w:spacing w:after="200"/>
      <w:ind/>
      <w:jc w:val="both"/>
    </w:pPr>
    <w:rPr>
      <w:rFonts w:ascii="XO Thames" w:hAnsi="XO Thames"/>
      <w:sz w:val="28"/>
    </w:rPr>
  </w:style>
  <w:style w:styleId="Style_23_ch" w:type="character">
    <w:name w:val="Колонтитул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3"/>
    <w:next w:val="Style_4"/>
    <w:link w:val="Style_25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  <w:pPr>
      <w:spacing w:after="200" w:line="276" w:lineRule="auto"/>
      <w:ind/>
    </w:pPr>
  </w:style>
  <w:style w:styleId="Style_26_ch" w:type="character">
    <w:name w:val="Основной шрифт абзаца1"/>
    <w:link w:val="Style_26"/>
  </w:style>
  <w:style w:styleId="Style_27" w:type="paragraph">
    <w:name w:val="Contents 9"/>
    <w:link w:val="Style_27_ch"/>
    <w:rPr>
      <w:rFonts w:ascii="XO Thames" w:hAnsi="XO Thames"/>
      <w:sz w:val="28"/>
    </w:rPr>
  </w:style>
  <w:style w:styleId="Style_27_ch" w:type="character">
    <w:name w:val="Contents 9"/>
    <w:link w:val="Style_27"/>
    <w:rPr>
      <w:rFonts w:ascii="XO Thames" w:hAnsi="XO Thames"/>
      <w:sz w:val="28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Contents 1"/>
    <w:link w:val="Style_29_ch"/>
    <w:rPr>
      <w:rFonts w:ascii="XO Thames" w:hAnsi="XO Thames"/>
      <w:b w:val="1"/>
      <w:sz w:val="28"/>
    </w:rPr>
  </w:style>
  <w:style w:styleId="Style_29_ch" w:type="character">
    <w:name w:val="Contents 1"/>
    <w:link w:val="Style_29"/>
    <w:rPr>
      <w:rFonts w:ascii="XO Thames" w:hAnsi="XO Thames"/>
      <w:b w:val="1"/>
      <w:sz w:val="28"/>
    </w:rPr>
  </w:style>
  <w:style w:styleId="Style_30" w:type="paragraph">
    <w:name w:val="heading 1"/>
    <w:next w:val="Style_4"/>
    <w:link w:val="Style_30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Заголовок1"/>
    <w:link w:val="Style_33_ch"/>
    <w:rPr>
      <w:rFonts w:ascii="XO Thames" w:hAnsi="XO Thames"/>
      <w:b w:val="1"/>
      <w:caps w:val="1"/>
      <w:sz w:val="40"/>
    </w:rPr>
  </w:style>
  <w:style w:styleId="Style_33_ch" w:type="character">
    <w:name w:val="Заголовок1"/>
    <w:link w:val="Style_33"/>
    <w:rPr>
      <w:rFonts w:ascii="XO Thames" w:hAnsi="XO Thames"/>
      <w:b w:val="1"/>
      <w:caps w:val="1"/>
      <w:sz w:val="40"/>
    </w:rPr>
  </w:style>
  <w:style w:styleId="Style_34" w:type="paragraph">
    <w:name w:val="toc 1"/>
    <w:next w:val="Style_4"/>
    <w:link w:val="Style_34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Подзаголовок1"/>
    <w:link w:val="Style_35_ch"/>
    <w:rPr>
      <w:rFonts w:ascii="XO Thames" w:hAnsi="XO Thames"/>
      <w:i w:val="1"/>
      <w:sz w:val="24"/>
    </w:rPr>
  </w:style>
  <w:style w:styleId="Style_35_ch" w:type="character">
    <w:name w:val="Подзаголовок1"/>
    <w:link w:val="Style_35"/>
    <w:rPr>
      <w:rFonts w:ascii="XO Thames" w:hAnsi="XO Thames"/>
      <w:i w:val="1"/>
      <w:sz w:val="24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37" w:type="paragraph">
    <w:name w:val="Заголовок 41"/>
    <w:link w:val="Style_37_ch"/>
    <w:rPr>
      <w:rFonts w:ascii="XO Thames" w:hAnsi="XO Thames"/>
      <w:b w:val="1"/>
      <w:sz w:val="24"/>
    </w:rPr>
  </w:style>
  <w:style w:styleId="Style_37_ch" w:type="character">
    <w:name w:val="Заголовок 41"/>
    <w:link w:val="Style_37"/>
    <w:rPr>
      <w:rFonts w:ascii="XO Thames" w:hAnsi="XO Thames"/>
      <w:b w:val="1"/>
      <w:sz w:val="24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Заголовок 21"/>
    <w:link w:val="Style_39_ch"/>
    <w:rPr>
      <w:rFonts w:ascii="XO Thames" w:hAnsi="XO Thames"/>
      <w:b w:val="1"/>
      <w:sz w:val="28"/>
    </w:rPr>
  </w:style>
  <w:style w:styleId="Style_39_ch" w:type="character">
    <w:name w:val="Заголовок 21"/>
    <w:link w:val="Style_39"/>
    <w:rPr>
      <w:rFonts w:ascii="XO Thames" w:hAnsi="XO Thames"/>
      <w:b w:val="1"/>
      <w:sz w:val="28"/>
    </w:rPr>
  </w:style>
  <w:style w:styleId="Style_40" w:type="paragraph">
    <w:name w:val="Contents 4"/>
    <w:link w:val="Style_40_ch"/>
    <w:rPr>
      <w:rFonts w:ascii="XO Thames" w:hAnsi="XO Thames"/>
      <w:sz w:val="28"/>
    </w:rPr>
  </w:style>
  <w:style w:styleId="Style_40_ch" w:type="character">
    <w:name w:val="Contents 4"/>
    <w:link w:val="Style_40"/>
    <w:rPr>
      <w:rFonts w:ascii="XO Thames" w:hAnsi="XO Thames"/>
      <w:sz w:val="28"/>
    </w:rPr>
  </w:style>
  <w:style w:styleId="Style_41" w:type="paragraph">
    <w:name w:val="toc 9"/>
    <w:next w:val="Style_4"/>
    <w:link w:val="Style_41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4"/>
    <w:link w:val="Style_42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4"/>
    <w:link w:val="Style_43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caption"/>
    <w:basedOn w:val="Style_4"/>
    <w:link w:val="Style_46_ch"/>
    <w:pPr>
      <w:spacing w:after="120" w:before="120"/>
      <w:ind/>
    </w:pPr>
    <w:rPr>
      <w:rFonts w:ascii="PT Astra Serif" w:hAnsi="PT Astra Serif"/>
      <w:i w:val="1"/>
      <w:sz w:val="24"/>
    </w:rPr>
  </w:style>
  <w:style w:styleId="Style_46_ch" w:type="character">
    <w:name w:val="caption"/>
    <w:basedOn w:val="Style_4_ch"/>
    <w:link w:val="Style_46"/>
    <w:rPr>
      <w:rFonts w:ascii="PT Astra Serif" w:hAnsi="PT Astra Serif"/>
      <w:i w:val="1"/>
      <w:sz w:val="24"/>
    </w:rPr>
  </w:style>
  <w:style w:styleId="Style_47" w:type="paragraph">
    <w:name w:val="Internet link"/>
    <w:link w:val="Style_47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47_ch" w:type="character">
    <w:name w:val="Internet link"/>
    <w:link w:val="Style_47"/>
    <w:rPr>
      <w:rFonts w:ascii="Calibri" w:hAnsi="Calibri"/>
      <w:color w:val="0000FF"/>
      <w:u w:val="single"/>
    </w:rPr>
  </w:style>
  <w:style w:styleId="Style_48" w:type="paragraph">
    <w:name w:val="Subtitle"/>
    <w:next w:val="Style_4"/>
    <w:link w:val="Style_48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List"/>
    <w:basedOn w:val="Style_14"/>
    <w:link w:val="Style_49_ch"/>
    <w:rPr>
      <w:rFonts w:ascii="PT Astra Serif" w:hAnsi="PT Astra Serif"/>
    </w:rPr>
  </w:style>
  <w:style w:styleId="Style_49_ch" w:type="character">
    <w:name w:val="List"/>
    <w:basedOn w:val="Style_14_ch"/>
    <w:link w:val="Style_49"/>
    <w:rPr>
      <w:rFonts w:ascii="PT Astra Serif" w:hAnsi="PT Astra Serif"/>
    </w:rPr>
  </w:style>
  <w:style w:styleId="Style_50" w:type="paragraph">
    <w:name w:val="Title"/>
    <w:next w:val="Style_14"/>
    <w:link w:val="Style_50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Contents 6"/>
    <w:link w:val="Style_52_ch"/>
    <w:rPr>
      <w:rFonts w:ascii="XO Thames" w:hAnsi="XO Thames"/>
      <w:sz w:val="28"/>
    </w:rPr>
  </w:style>
  <w:style w:styleId="Style_52_ch" w:type="character">
    <w:name w:val="Contents 6"/>
    <w:link w:val="Style_52"/>
    <w:rPr>
      <w:rFonts w:ascii="XO Thames" w:hAnsi="XO Thames"/>
      <w:sz w:val="28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numbering.xml" Type="http://schemas.openxmlformats.org/officeDocument/2006/relationships/numbering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ettings.xml" Type="http://schemas.openxmlformats.org/officeDocument/2006/relationships/settings"/>
  <Relationship Id="rId10" Target="footer10.xml" Type="http://schemas.openxmlformats.org/officeDocument/2006/relationships/footer"/>
  <Relationship Id="rId5" Target="footer5.xml" Type="http://schemas.openxmlformats.org/officeDocument/2006/relationships/footer"/>
  <Relationship Id="rId11" Target="fontTable.xml" Type="http://schemas.openxmlformats.org/officeDocument/2006/relationships/fontTable"/>
  <Relationship Id="rId8" Target="footer8.xml" Type="http://schemas.openxmlformats.org/officeDocument/2006/relationships/foot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2025-05-07T08:47:04Z</dcterms:modified>
</cp:coreProperties>
</file>