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4019</w:t>
      </w:r>
      <w:r>
        <w:rPr>
          <w:spacing w:val="-4"/>
          <w:sz w:val="28"/>
        </w:rPr>
        <w:t>-П</w:t>
      </w:r>
    </w:p>
    <w:p w14:paraId="0B000000">
      <w:pPr>
        <w:pStyle w:val="Style_3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3"/>
        <w:widowControl w:val="0"/>
        <w:spacing w:after="0" w:before="0" w:line="240" w:lineRule="auto"/>
        <w:ind w:firstLine="0" w:left="0" w:right="39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туристских походов образовательными учреждениями, подведомственными Управлению образования администрации города Магнитогорска, в летний период 2025 года</w:t>
      </w:r>
    </w:p>
    <w:p w14:paraId="0D000000">
      <w:pPr>
        <w:pStyle w:val="Style_3"/>
        <w:widowControl w:val="0"/>
        <w:spacing w:after="0" w:before="0" w:line="240" w:lineRule="auto"/>
        <w:ind w:firstLine="0" w:left="0" w:right="5104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отдыха детей в летний период 2025 года,</w:t>
      </w:r>
      <w:r>
        <w:br/>
      </w:r>
      <w:r>
        <w:rPr>
          <w:rFonts w:ascii="Times New Roman" w:hAnsi="Times New Roman"/>
          <w:sz w:val="28"/>
        </w:rPr>
        <w:t>в соответствии с пунктом 13 части 1 статьи 16 Федерального закона</w:t>
      </w:r>
      <w: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частью 1 статьи 12 Федерального закона от 24.07.1998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124-ФЗ «Об основных гарантиях прав ребенка</w:t>
      </w:r>
      <w:r>
        <w:br/>
      </w:r>
      <w:r>
        <w:rPr>
          <w:rFonts w:ascii="Times New Roman" w:hAnsi="Times New Roman"/>
          <w:sz w:val="28"/>
        </w:rPr>
        <w:t>в Российской Федерации», руководствуясь Уставом города Магнитогорска,</w:t>
      </w:r>
    </w:p>
    <w:p w14:paraId="0F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дислокацию многодневных туристских походов обучающихся образовательных учреждений, подведомственных Управлению образования администрации города Магнитогорска, в летний период 2025 года (приложения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1,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2).</w:t>
      </w:r>
    </w:p>
    <w:p w14:paraId="12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Установить: </w:t>
      </w:r>
    </w:p>
    <w:p w14:paraId="13000000">
      <w:pPr>
        <w:pStyle w:val="Style_3"/>
        <w:widowControl w:val="0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pacing w:val="-6"/>
          <w:sz w:val="28"/>
        </w:rPr>
        <w:t xml:space="preserve">категорию детей </w:t>
      </w:r>
      <w:r>
        <w:rPr>
          <w:rFonts w:ascii="XO Thames" w:hAnsi="XO Thames"/>
          <w:color w:val="000000"/>
          <w:spacing w:val="-6"/>
          <w:sz w:val="28"/>
        </w:rPr>
        <w:t>–</w:t>
      </w:r>
      <w:r>
        <w:rPr>
          <w:rFonts w:ascii="Times New Roman" w:hAnsi="Times New Roman"/>
          <w:spacing w:val="-6"/>
          <w:sz w:val="28"/>
        </w:rPr>
        <w:t xml:space="preserve"> в возрасте от 11 до 17 лет (включительно)</w:t>
      </w:r>
      <w:r>
        <w:rPr>
          <w:rFonts w:ascii="Times New Roman" w:hAnsi="Times New Roman"/>
          <w:sz w:val="28"/>
        </w:rPr>
        <w:t>, обучающихся в образовательных учреждениях города Магнитогорска,</w:t>
      </w:r>
      <w:r>
        <w:br/>
      </w:r>
      <w:r>
        <w:rPr>
          <w:rFonts w:ascii="Times New Roman" w:hAnsi="Times New Roman"/>
          <w:spacing w:val="-4"/>
          <w:sz w:val="28"/>
        </w:rPr>
        <w:t>за исключением обучающихся в учреждениях профессионального образования</w:t>
      </w:r>
      <w:r>
        <w:rPr>
          <w:rFonts w:ascii="Times New Roman" w:hAnsi="Times New Roman"/>
          <w:sz w:val="28"/>
        </w:rPr>
        <w:t xml:space="preserve"> или детей, отдыхающих за счет средств федерального бюджета. Дети,</w:t>
      </w:r>
      <w:r>
        <w:br/>
      </w:r>
      <w:r>
        <w:rPr>
          <w:rFonts w:ascii="Times New Roman" w:hAnsi="Times New Roman"/>
          <w:sz w:val="28"/>
        </w:rPr>
        <w:t>не проживающие на территории города Магнитогорска и не обучающиеся</w:t>
      </w:r>
      <w:r>
        <w:br/>
      </w:r>
      <w:r>
        <w:rPr>
          <w:rFonts w:ascii="Times New Roman" w:hAnsi="Times New Roman"/>
          <w:sz w:val="28"/>
        </w:rPr>
        <w:t>в образовательных учреждениях города Магнитогорска, имеют право</w:t>
      </w:r>
      <w:r>
        <w:br/>
      </w:r>
      <w:r>
        <w:rPr>
          <w:rFonts w:ascii="Times New Roman" w:hAnsi="Times New Roman"/>
          <w:sz w:val="28"/>
        </w:rPr>
        <w:t>на приобретение путевки в туристские походы за полную стоимость согласно установленным тарифам. Обучающиеся, принимающие участие в туристских походах, в соответствии с п.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4.2 Предписания Главного Государственного санитарного врача по Челябинской области от 04.03.2025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br/>
      </w:r>
      <w:r>
        <w:rPr>
          <w:rFonts w:ascii="Times New Roman" w:hAnsi="Times New Roman"/>
          <w:sz w:val="28"/>
        </w:rPr>
        <w:t>«О дополнительных противоэпидемических (профилактических) мероприятиях в очаге клещевых инфекций в Челябинской области в сезон 2025 года» должны быть привиты против клещевого вирусного энцефалита;</w:t>
      </w:r>
    </w:p>
    <w:p w14:paraId="14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продолжительность смены в туристских походах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дня;</w:t>
      </w:r>
    </w:p>
    <w:p w14:paraId="15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источники финансирования организации туристских походов</w:t>
      </w:r>
      <w:r>
        <w:br/>
      </w:r>
      <w:r>
        <w:rPr>
          <w:rFonts w:ascii="Times New Roman" w:hAnsi="Times New Roman"/>
          <w:sz w:val="28"/>
        </w:rPr>
        <w:t xml:space="preserve">на базе образовательных учреждений, подведомственных Управлению </w:t>
      </w:r>
      <w:r>
        <w:br/>
      </w:r>
    </w:p>
    <w:p w14:paraId="16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администрации города Магнитогорска, в каникулярное время:</w:t>
      </w:r>
    </w:p>
    <w:p w14:paraId="17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муниципальным образовательным учреждениям</w:t>
      </w:r>
      <w:r>
        <w:br/>
      </w:r>
      <w:r>
        <w:rPr>
          <w:rFonts w:ascii="Times New Roman" w:hAnsi="Times New Roman"/>
          <w:sz w:val="28"/>
        </w:rPr>
        <w:t>на финансовое обеспечение выполнения ими муниципального задания, рассчитанные с учетом нормативных затрат на оказание ими муниципальной услуги по организации отдыха и оздоровления обучающихся;</w:t>
      </w:r>
    </w:p>
    <w:p w14:paraId="18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субсидии муниципальным образовательным учреждениям на финансовое</w:t>
      </w:r>
      <w:r>
        <w:rPr>
          <w:rFonts w:ascii="Times New Roman" w:hAnsi="Times New Roman"/>
          <w:sz w:val="28"/>
        </w:rPr>
        <w:t xml:space="preserve"> обеспечение выполнения ими муниципального задания, рассчитанные</w:t>
      </w:r>
      <w:r>
        <w:br/>
      </w:r>
      <w:r>
        <w:rPr>
          <w:rFonts w:ascii="Times New Roman" w:hAnsi="Times New Roman"/>
          <w:sz w:val="28"/>
        </w:rPr>
        <w:t>с учетом нормативных затрат на оказание ими муниципальной услуги</w:t>
      </w:r>
      <w:r>
        <w:br/>
      </w:r>
      <w:r>
        <w:rPr>
          <w:rFonts w:ascii="Times New Roman" w:hAnsi="Times New Roman"/>
          <w:sz w:val="28"/>
        </w:rPr>
        <w:t>по присмотру и уходу;</w:t>
      </w:r>
    </w:p>
    <w:p w14:paraId="19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субсидии, предоставляемые из бюджета города Магнитогорска муниципальным бюджетным и муниципальным автономным учреждениям</w:t>
      </w:r>
      <w:r>
        <w:br/>
      </w:r>
      <w:r>
        <w:rPr>
          <w:rFonts w:ascii="Times New Roman" w:hAnsi="Times New Roman"/>
          <w:sz w:val="28"/>
        </w:rPr>
        <w:t>на иные цели;</w:t>
      </w:r>
    </w:p>
    <w:p w14:paraId="1A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родительская плата за присмотр и уход, нормы питания в туристских походах, организуемых образовательными учреждениями, подведомственными Управлению образования администрации города Магнитогорска (устанавливается постановлением администрации города Магнитогорска).</w:t>
      </w:r>
    </w:p>
    <w:p w14:paraId="1B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Руководителям образовательных учреждений, подведомственных Управлению образования администрации города Магнитогорска:</w:t>
      </w:r>
    </w:p>
    <w:p w14:paraId="1C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своевременную и качественную подготовку туристских походов в летний период 2025 года;</w:t>
      </w:r>
    </w:p>
    <w:p w14:paraId="1D000000">
      <w:pPr>
        <w:pStyle w:val="Style_3"/>
        <w:widowControl w:val="0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создать безопасные условия пребывания детей, присмотра и ухода за ними (комплекс мер по организации питания и хозяйственно-бытового обслуживания детей, обеспечению соблюдения ими личной гигиены</w:t>
      </w:r>
      <w:r>
        <w:br/>
      </w:r>
      <w:r>
        <w:rPr>
          <w:rFonts w:ascii="Times New Roman" w:hAnsi="Times New Roman"/>
          <w:sz w:val="28"/>
        </w:rPr>
        <w:t>и режима дня), перевозки к местам отдыха и обратно, содержания детей</w:t>
      </w:r>
      <w:r>
        <w:br/>
      </w:r>
      <w:r>
        <w:rPr>
          <w:rFonts w:ascii="Times New Roman" w:hAnsi="Times New Roman"/>
          <w:sz w:val="28"/>
        </w:rPr>
        <w:t>в соответствии с установленными санитарно-эпидемиологическими и иными требованиями и нормами, обеспечивающими жизнь и здоровье детей, работников образовательных учреждений;</w:t>
      </w:r>
    </w:p>
    <w:p w14:paraId="1E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принять меры по подбору квалифицированных педагогических кадров, прошедших профессиональную гигиеническую подготовку, медицинское обследование, а также привитых в соответствии</w:t>
      </w:r>
      <w:r>
        <w:br/>
      </w:r>
      <w:r>
        <w:rPr>
          <w:rFonts w:ascii="Times New Roman" w:hAnsi="Times New Roman"/>
          <w:sz w:val="28"/>
        </w:rPr>
        <w:t>с Национальным календарем профилактических прививок и календарем профилактических прививок по эпидемическим показаниям, в том числе против клещевого вирусного энцефалита (п.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4.1 Предписания Главного Государственного санитарного врача по Челябинской области от 04.03.2025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3 «О дополнительных противоэпидемических (профилактических) мероприятиях в очаге клещевых инфекций в Челябинской области в сезон 2025 года»), для работы в туристских походах; обеспечить </w:t>
      </w:r>
      <w:r>
        <w:rPr>
          <w:rFonts w:ascii="Times New Roman" w:hAnsi="Times New Roman"/>
          <w:spacing w:val="-4"/>
          <w:sz w:val="28"/>
        </w:rPr>
        <w:t>соответствие квалификации работников соответствующим профессиональным</w:t>
      </w:r>
      <w:r>
        <w:rPr>
          <w:rFonts w:ascii="Times New Roman" w:hAnsi="Times New Roman"/>
          <w:sz w:val="28"/>
        </w:rPr>
        <w:t xml:space="preserve"> стандартам или квалификационным требованиям в соответствии с трудовым законодательством;</w:t>
      </w:r>
    </w:p>
    <w:p w14:paraId="1F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контроль организации отдыха детей, правильности прохождения маршрута в туристских походах;</w:t>
      </w:r>
    </w:p>
    <w:p w14:paraId="20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полноценное питание детей, безопасность их жизни, </w:t>
      </w:r>
      <w:r>
        <w:br/>
      </w:r>
    </w:p>
    <w:p w14:paraId="21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противопожарную безопасность в туристских походах;</w:t>
      </w:r>
    </w:p>
    <w:p w14:paraId="22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транспортные расходы по доставке туристских групп к месту начала и окончания маршрута осуществлять за счет родительских средств;</w:t>
      </w:r>
    </w:p>
    <w:p w14:paraId="23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своевременное информирование Территориального отдела Роспотребнадзора об аварийных и критических ситуациях, создающих угрозу санитарно-эпидемиологическому благополучию детей;</w:t>
      </w:r>
    </w:p>
    <w:p w14:paraId="24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информировать Главное управление МЧС России Челябинской области не позднее, чем за 10 рабочих дней до начала туристического похода в соответствии с Порядком информирования, утвержденным приказом МЧС России от 29.03.2023 № 270 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</w:t>
      </w:r>
      <w:r>
        <w:br/>
      </w:r>
      <w:r>
        <w:rPr>
          <w:rFonts w:ascii="Times New Roman" w:hAnsi="Times New Roman"/>
          <w:sz w:val="28"/>
        </w:rPr>
        <w:t>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</w:t>
      </w:r>
      <w:r>
        <w:br/>
      </w:r>
      <w:r>
        <w:rPr>
          <w:rFonts w:ascii="Times New Roman" w:hAnsi="Times New Roman"/>
          <w:sz w:val="28"/>
        </w:rPr>
        <w:t>для жизни, причинением вреда здоровью туристов (экскурсантов) и их имуществу».</w:t>
      </w:r>
    </w:p>
    <w:p w14:paraId="25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26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27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28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С.Н. Бердников</w:t>
      </w:r>
    </w:p>
    <w:p w14:paraId="2C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D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E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2F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0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1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2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3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4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5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6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7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38000000">
      <w:pPr>
        <w:pStyle w:val="Style_3"/>
        <w:widowControl w:val="0"/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br w:type="page"/>
      </w:r>
    </w:p>
    <w:p w14:paraId="39000000">
      <w:pPr>
        <w:pStyle w:val="Style_3"/>
        <w:widowControl w:val="0"/>
        <w:spacing w:after="0" w:before="0" w:line="240" w:lineRule="auto"/>
        <w:ind w:hanging="1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3A000000">
      <w:pPr>
        <w:pStyle w:val="Style_3"/>
        <w:widowControl w:val="0"/>
        <w:spacing w:after="0" w:before="0" w:line="240" w:lineRule="auto"/>
        <w:ind w:hanging="1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B000000">
      <w:pPr>
        <w:pStyle w:val="Style_3"/>
        <w:widowControl w:val="0"/>
        <w:spacing w:after="0" w:before="0" w:line="240" w:lineRule="auto"/>
        <w:ind w:hanging="1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3C000000">
      <w:pPr>
        <w:pStyle w:val="Style_3"/>
        <w:widowControl w:val="0"/>
        <w:spacing w:after="0" w:before="0" w:line="240" w:lineRule="auto"/>
        <w:ind w:hanging="1" w:left="566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06.05.2025 № 4019-П</w:t>
      </w:r>
    </w:p>
    <w:p w14:paraId="3D000000">
      <w:pPr>
        <w:pStyle w:val="Style_3"/>
        <w:widowControl w:val="0"/>
        <w:spacing w:after="0" w:before="0" w:line="240" w:lineRule="auto"/>
        <w:ind w:firstLine="1134" w:left="4678" w:right="0"/>
        <w:rPr>
          <w:rFonts w:ascii="Times New Roman" w:hAnsi="Times New Roman"/>
          <w:sz w:val="24"/>
        </w:rPr>
      </w:pPr>
    </w:p>
    <w:p w14:paraId="3E000000">
      <w:pPr>
        <w:pStyle w:val="Style_3"/>
        <w:widowControl w:val="0"/>
        <w:spacing w:after="0" w:before="0" w:line="240" w:lineRule="auto"/>
        <w:ind w:firstLine="1134" w:left="4678" w:right="0"/>
        <w:rPr>
          <w:rFonts w:ascii="Times New Roman" w:hAnsi="Times New Roman"/>
          <w:sz w:val="24"/>
        </w:rPr>
      </w:pPr>
    </w:p>
    <w:p w14:paraId="3F000000">
      <w:pPr>
        <w:pStyle w:val="Style_3"/>
        <w:widowControl w:val="0"/>
        <w:spacing w:after="0" w:before="0" w:line="240" w:lineRule="auto"/>
        <w:ind w:firstLine="0" w:left="567" w:righ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Дислокация многодневных туристских походов обучающихся образовательных учреждений, подведомственных Управлению образования администрации города Магнитогорска, в летний период 2025 года (за исключением путевок, предоставляемых на основании Решения Магнитогорского городского Собрания депутатов Челябинской области от 25 октября 2022 г. № 151)</w:t>
      </w:r>
    </w:p>
    <w:p w14:paraId="40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3889"/>
        <w:gridCol w:w="1419"/>
        <w:gridCol w:w="1616"/>
        <w:gridCol w:w="1880"/>
      </w:tblGrid>
      <w:tr>
        <w:trPr>
          <w:trHeight w:hRule="atLeast" w:val="928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</w:t>
            </w:r>
          </w:p>
          <w:p w14:paraId="43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образовательного учреждения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Количество путевок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 счет родительской платы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0"/>
              <w:spacing w:after="0" w:before="0" w:line="240" w:lineRule="auto"/>
              <w:ind w:firstLine="0" w:left="-57" w:right="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Льготные путевки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автономное общеобразовательное учреждение «Академический лицей»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39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автономное общеобразовательное учреждение «Многопрофильный лицей №1»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«Магнитогорский городской многопрофильный лицей при Магнитогорском государственном техническом университете (МГТУ) им. Г.И. Носова»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12»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14»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«Гимназия № 18»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20»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21»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25 при Магнитогорской Государственной консерватории»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39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32»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33 с углубленным изучением английского языка»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60»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 «Средняя общеобразовательная школа № 36»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37»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38 имени В.И. Машковцева»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39»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40»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41»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42»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1187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23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48»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24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«Гимназия № 53»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55»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61»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27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62»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64 имени Б. Ручьева»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29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66»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общеобразовательное учреждение «Средняя общеобразовательная школа № 67»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31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автономное учреждение дополнительного образования «Дворец творчества детей и молодежи»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240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225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32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учреждение дополнительного образования «Детско-юношеский центр «Максимум»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225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209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widowControl w:val="0"/>
              <w:spacing w:after="0" w:before="0" w:line="240" w:lineRule="auto"/>
              <w:ind w:firstLine="57" w:left="0" w:right="0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33</w:t>
            </w:r>
          </w:p>
        </w:tc>
        <w:tc>
          <w:tcPr>
            <w:tcW w:type="dxa" w:w="3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Муниципальное учреждение дополнительного образования «Правобережный центр дополнительного образования детей» города Магнитогорска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490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445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45</w:t>
            </w:r>
          </w:p>
        </w:tc>
      </w:tr>
      <w:tr>
        <w:trPr>
          <w:trHeight w:hRule="atLeast" w:val="330"/>
        </w:trPr>
        <w:tc>
          <w:tcPr>
            <w:tcW w:type="dxa" w:w="442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1600</w:t>
            </w:r>
          </w:p>
        </w:tc>
        <w:tc>
          <w:tcPr>
            <w:tcW w:type="dxa" w:w="16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1454</w:t>
            </w:r>
          </w:p>
        </w:tc>
        <w:tc>
          <w:tcPr>
            <w:tcW w:type="dxa" w:w="1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146</w:t>
            </w:r>
          </w:p>
        </w:tc>
      </w:tr>
    </w:tbl>
    <w:p w14:paraId="F0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b w:val="1"/>
          <w:sz w:val="24"/>
        </w:rPr>
      </w:pPr>
    </w:p>
    <w:p w14:paraId="F1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b w:val="1"/>
          <w:sz w:val="24"/>
        </w:rPr>
      </w:pPr>
    </w:p>
    <w:p w14:paraId="F2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b w:val="1"/>
          <w:sz w:val="24"/>
        </w:rPr>
      </w:pPr>
    </w:p>
    <w:p w14:paraId="F3000000">
      <w:pPr>
        <w:pStyle w:val="Style_3"/>
        <w:spacing w:after="0" w:before="0" w:line="240" w:lineRule="auto"/>
        <w:ind/>
        <w:rPr>
          <w:rFonts w:ascii="Calibri" w:hAnsi="Calibri"/>
        </w:rPr>
      </w:pPr>
    </w:p>
    <w:p w14:paraId="F4000000">
      <w:pPr>
        <w:pStyle w:val="Style_3"/>
        <w:widowControl w:val="0"/>
        <w:spacing w:after="0" w:before="0" w:line="240" w:lineRule="auto"/>
        <w:ind w:firstLine="0" w:left="-283" w:right="0"/>
        <w:rPr>
          <w:rFonts w:ascii="Times New Roman" w:hAnsi="Times New Roman"/>
          <w:b w:val="1"/>
          <w:sz w:val="24"/>
        </w:rPr>
      </w:pPr>
    </w:p>
    <w:p w14:paraId="F5000000">
      <w:pPr>
        <w:pStyle w:val="Style_3"/>
        <w:widowControl w:val="0"/>
        <w:spacing w:after="0" w:before="0" w:line="240" w:lineRule="auto"/>
        <w:ind w:firstLine="992" w:left="4678" w:right="0"/>
        <w:rPr>
          <w:rFonts w:ascii="Times New Roman" w:hAnsi="Times New Roman"/>
          <w:sz w:val="24"/>
        </w:rPr>
      </w:pPr>
      <w:r>
        <w:br w:type="page"/>
      </w:r>
    </w:p>
    <w:p w14:paraId="F6000000">
      <w:pPr>
        <w:pStyle w:val="Style_3"/>
        <w:widowControl w:val="0"/>
        <w:spacing w:after="0" w:before="0" w:line="240" w:lineRule="auto"/>
        <w:ind w:firstLine="992" w:left="467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F7000000">
      <w:pPr>
        <w:pStyle w:val="Style_3"/>
        <w:widowControl w:val="0"/>
        <w:spacing w:after="0" w:before="0" w:line="240" w:lineRule="auto"/>
        <w:ind w:firstLine="992" w:left="467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8000000">
      <w:pPr>
        <w:pStyle w:val="Style_3"/>
        <w:widowControl w:val="0"/>
        <w:spacing w:after="0" w:before="0" w:line="240" w:lineRule="auto"/>
        <w:ind w:firstLine="992" w:left="467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F9000000">
      <w:pPr>
        <w:pStyle w:val="Style_3"/>
        <w:widowControl w:val="0"/>
        <w:spacing w:after="0" w:before="0" w:line="240" w:lineRule="auto"/>
        <w:ind w:firstLine="992" w:left="4678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06.05.2025 № 4019-П</w:t>
      </w:r>
    </w:p>
    <w:p w14:paraId="FA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sz w:val="24"/>
        </w:rPr>
      </w:pPr>
    </w:p>
    <w:p w14:paraId="FB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sz w:val="24"/>
        </w:rPr>
      </w:pPr>
    </w:p>
    <w:p w14:paraId="FC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sz w:val="24"/>
        </w:rPr>
      </w:pPr>
    </w:p>
    <w:p w14:paraId="FD000000">
      <w:pPr>
        <w:pStyle w:val="Style_3"/>
        <w:widowControl w:val="0"/>
        <w:spacing w:after="0" w:before="0" w:line="240" w:lineRule="auto"/>
        <w:ind w:firstLine="0" w:left="567" w:righ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Дислокация многодневных туристских походов обучающихся образовательных учреждений, подведомственных Управлению образования администрации города Магнитогорска, в летний период 2025 года (в части количества путевок, предоставляемых на основании Решения Магнитогорского городского Собрания депутатов Челябинской области от 25 октября 2022 г. № 151)</w:t>
      </w:r>
    </w:p>
    <w:p w14:paraId="FE000000">
      <w:pPr>
        <w:pStyle w:val="Style_3"/>
        <w:widowControl w:val="0"/>
        <w:spacing w:after="0" w:before="0" w:line="240" w:lineRule="auto"/>
        <w:ind w:firstLine="0" w:left="4678" w:right="0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jc w:val="left"/>
        <w:tblInd w:type="dxa" w:w="-14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7231"/>
        <w:gridCol w:w="1552"/>
      </w:tblGrid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</w:t>
            </w:r>
          </w:p>
          <w:p w14:paraId="0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образовательного учреждения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Количество путевок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МАОУ «Академический лицей» г. Магнитогорска</w:t>
            </w:r>
          </w:p>
          <w:p w14:paraId="0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3» г. Магнитогорска</w:t>
            </w:r>
          </w:p>
          <w:p w14:paraId="0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12»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14»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20»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25 при МаГК»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32»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33»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37»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38 имени В.И. Машковцева» г. 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39»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40»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«Гимназия № 53»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55»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60»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61»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62»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МОУ «СОШ № 66»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 по ОУ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41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</w:t>
            </w: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МУДО «Правобережный центр дополнительного образования детей» г. Магнитогорска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 по УДО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45</w:t>
            </w:r>
          </w:p>
        </w:tc>
      </w:tr>
    </w:tbl>
    <w:p w14:paraId="4701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widowControl w:val="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Вр-2071510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Endnote1"/>
    <w:link w:val="Style_5_ch"/>
    <w:pPr>
      <w:widowControl w:val="0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_ch" w:type="character">
    <w:name w:val="Endnote1"/>
    <w:link w:val="Style_5"/>
    <w:rPr>
      <w:rFonts w:ascii="XO Thames" w:hAnsi="XO Thames"/>
      <w:color w:val="000000"/>
      <w:spacing w:val="0"/>
      <w:sz w:val="22"/>
    </w:rPr>
  </w:style>
  <w:style w:styleId="Style_6" w:type="paragraph">
    <w:name w:val="toc 2"/>
    <w:next w:val="Style_3"/>
    <w:link w:val="Style_6_ch"/>
    <w:uiPriority w:val="39"/>
    <w:pPr>
      <w:widowControl w:val="0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0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Subtitle"/>
    <w:next w:val="Style_3"/>
    <w:link w:val="Style_8_ch"/>
    <w:pPr>
      <w:widowControl w:val="0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_ch" w:type="character">
    <w:name w:val="Subtitle"/>
    <w:link w:val="Style_8"/>
    <w:rPr>
      <w:rFonts w:ascii="XO Thames" w:hAnsi="XO Thames"/>
      <w:i w:val="1"/>
      <w:color w:val="000000"/>
      <w:spacing w:val="0"/>
      <w:sz w:val="24"/>
    </w:rPr>
  </w:style>
  <w:style w:styleId="Style_9" w:type="paragraph">
    <w:name w:val="Колонтитул"/>
    <w:link w:val="Style_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9_ch" w:type="character">
    <w:name w:val="Колонтитул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6"/>
    <w:next w:val="Style_3"/>
    <w:link w:val="Style_10_ch"/>
    <w:uiPriority w:val="39"/>
    <w:pPr>
      <w:widowControl w:val="0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0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Footnote1"/>
    <w:link w:val="Style_12_ch"/>
    <w:pPr>
      <w:widowControl w:val="0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Footnote1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1"/>
    <w:link w:val="Style_13_ch"/>
    <w:rPr>
      <w:rFonts w:ascii="XO Thames" w:hAnsi="XO Thames"/>
      <w:b w:val="1"/>
      <w:color w:val="000000"/>
      <w:spacing w:val="0"/>
      <w:sz w:val="32"/>
    </w:rPr>
  </w:style>
  <w:style w:styleId="Style_13_ch" w:type="character">
    <w:name w:val="Heading 1"/>
    <w:link w:val="Style_13"/>
    <w:rPr>
      <w:rFonts w:ascii="XO Thames" w:hAnsi="XO Thames"/>
      <w:b w:val="1"/>
      <w:color w:val="000000"/>
      <w:spacing w:val="0"/>
      <w:sz w:val="32"/>
    </w:rPr>
  </w:style>
  <w:style w:styleId="Style_14" w:type="paragraph">
    <w:name w:val="Endnote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Заголовок"/>
    <w:basedOn w:val="Style_3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" w:type="paragraph">
    <w:name w:val="Header"/>
    <w:basedOn w:val="Style_3"/>
    <w:link w:val="Style_1_ch"/>
    <w:pPr>
      <w:widowControl w:val="0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0" w:type="paragraph">
    <w:name w:val="Caption"/>
    <w:basedOn w:val="Style_3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3_ch"/>
    <w:link w:val="Style_20"/>
    <w:rPr>
      <w:rFonts w:ascii="PT Astra Serif" w:hAnsi="PT Astra Serif"/>
      <w:i w:val="1"/>
      <w:sz w:val="24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19" w:type="paragraph">
    <w:name w:val="Body Text"/>
    <w:basedOn w:val="Style_3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3_ch"/>
    <w:link w:val="Style_19"/>
  </w:style>
  <w:style w:styleId="Style_22" w:type="paragraph">
    <w:name w:val="Contents 4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2"/>
    <w:link w:val="Style_23_ch"/>
    <w:rPr>
      <w:rFonts w:ascii="XO Thames" w:hAnsi="XO Thames"/>
      <w:b w:val="1"/>
      <w:color w:val="000000"/>
      <w:spacing w:val="0"/>
      <w:sz w:val="28"/>
    </w:rPr>
  </w:style>
  <w:style w:styleId="Style_23_ch" w:type="character">
    <w:name w:val="Heading 2"/>
    <w:link w:val="Style_23"/>
    <w:rPr>
      <w:rFonts w:ascii="XO Thames" w:hAnsi="XO Thames"/>
      <w:b w:val="1"/>
      <w:color w:val="000000"/>
      <w:spacing w:val="0"/>
      <w:sz w:val="28"/>
    </w:rPr>
  </w:style>
  <w:style w:styleId="Style_24" w:type="paragraph">
    <w:name w:val="Contents 9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9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Header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Header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Footer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Footer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Heading 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toc 3"/>
    <w:next w:val="Style_3"/>
    <w:link w:val="Style_29_ch"/>
    <w:uiPriority w:val="39"/>
    <w:pPr>
      <w:widowControl w:val="0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Heading 2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Heading 2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ing 5"/>
    <w:link w:val="Style_31_ch"/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Subtitle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Subtitle1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Heading 4"/>
    <w:link w:val="Style_33_ch"/>
    <w:rPr>
      <w:rFonts w:ascii="XO Thames" w:hAnsi="XO Thames"/>
      <w:b w:val="1"/>
      <w:color w:val="000000"/>
      <w:spacing w:val="0"/>
      <w:sz w:val="24"/>
    </w:rPr>
  </w:style>
  <w:style w:styleId="Style_33_ch" w:type="character">
    <w:name w:val="Heading 4"/>
    <w:link w:val="Style_33"/>
    <w:rPr>
      <w:rFonts w:ascii="XO Thames" w:hAnsi="XO Thames"/>
      <w:b w:val="1"/>
      <w:color w:val="000000"/>
      <w:spacing w:val="0"/>
      <w:sz w:val="24"/>
    </w:rPr>
  </w:style>
  <w:style w:styleId="Style_34" w:type="paragraph">
    <w:name w:val="Footer"/>
    <w:link w:val="Style_34_ch"/>
  </w:style>
  <w:style w:styleId="Style_34_ch" w:type="character">
    <w:name w:val="Footer"/>
    <w:link w:val="Style_34"/>
  </w:style>
  <w:style w:styleId="Style_35" w:type="paragraph">
    <w:name w:val="heading 5"/>
    <w:next w:val="Style_3"/>
    <w:link w:val="Style_35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Contents 3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3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8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er"/>
    <w:link w:val="Style_38_ch"/>
  </w:style>
  <w:style w:styleId="Style_38_ch" w:type="character">
    <w:name w:val="Header"/>
    <w:link w:val="Style_38"/>
  </w:style>
  <w:style w:styleId="Style_39" w:type="paragraph">
    <w:name w:val="heading 1"/>
    <w:next w:val="Style_3"/>
    <w:link w:val="Style_39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9_ch" w:type="character">
    <w:name w:val="heading 1"/>
    <w:link w:val="Style_39"/>
    <w:rPr>
      <w:rFonts w:ascii="XO Thames" w:hAnsi="XO Thames"/>
      <w:b w:val="1"/>
      <w:color w:val="000000"/>
      <w:spacing w:val="0"/>
      <w:sz w:val="32"/>
    </w:rPr>
  </w:style>
  <w:style w:styleId="Style_2" w:type="paragraph">
    <w:name w:val="Footer"/>
    <w:basedOn w:val="Style_3"/>
    <w:link w:val="Style_2_ch"/>
    <w:pPr>
      <w:widowControl w:val="0"/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0" w:type="paragraph">
    <w:name w:val="Heading 3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0_ch" w:type="character">
    <w:name w:val="Heading 31"/>
    <w:link w:val="Style_40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Text body"/>
    <w:link w:val="Style_17_ch"/>
  </w:style>
  <w:style w:styleId="Style_17_ch" w:type="character">
    <w:name w:val="Text body"/>
    <w:link w:val="Style_17"/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2_ch" w:type="character">
    <w:name w:val="Footnote"/>
    <w:link w:val="Style_42"/>
    <w:rPr>
      <w:rFonts w:ascii="XO Thames" w:hAnsi="XO Thames"/>
      <w:color w:val="000000"/>
      <w:spacing w:val="0"/>
      <w:sz w:val="22"/>
    </w:rPr>
  </w:style>
  <w:style w:styleId="Style_43" w:type="paragraph">
    <w:name w:val="toc 1"/>
    <w:next w:val="Style_3"/>
    <w:link w:val="Style_43_ch"/>
    <w:uiPriority w:val="39"/>
    <w:pPr>
      <w:widowControl w:val="0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toc 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Contents 5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er and Footer"/>
    <w:link w:val="Style_45_ch"/>
    <w:rPr>
      <w:rFonts w:ascii="XO Thames" w:hAnsi="XO Thames"/>
      <w:sz w:val="28"/>
    </w:rPr>
  </w:style>
  <w:style w:styleId="Style_45_ch" w:type="character">
    <w:name w:val="Header and Footer"/>
    <w:link w:val="Style_45"/>
    <w:rPr>
      <w:rFonts w:ascii="XO Thames" w:hAnsi="XO Thames"/>
      <w:sz w:val="28"/>
    </w:rPr>
  </w:style>
  <w:style w:styleId="Style_46" w:type="paragraph">
    <w:name w:val="Heading 5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6_ch" w:type="character">
    <w:name w:val="Heading 51"/>
    <w:link w:val="Style_46"/>
    <w:rPr>
      <w:rFonts w:ascii="XO Thames" w:hAnsi="XO Thames"/>
      <w:b w:val="1"/>
      <w:color w:val="000000"/>
      <w:spacing w:val="0"/>
      <w:sz w:val="22"/>
    </w:rPr>
  </w:style>
  <w:style w:styleId="Style_47" w:type="paragraph">
    <w:name w:val="Contents 7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7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toc 9"/>
    <w:next w:val="Style_3"/>
    <w:link w:val="Style_48_ch"/>
    <w:uiPriority w:val="39"/>
    <w:pPr>
      <w:widowControl w:val="0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9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Title"/>
    <w:next w:val="Style_3"/>
    <w:link w:val="Style_49_ch"/>
    <w:pPr>
      <w:widowControl w:val="0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Contents 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Contents 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Internet link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1_ch" w:type="character">
    <w:name w:val="Internet link"/>
    <w:link w:val="Style_51"/>
    <w:rPr>
      <w:rFonts w:ascii="Calibri" w:hAnsi="Calibri"/>
      <w:color w:val="0000FF"/>
      <w:spacing w:val="0"/>
      <w:sz w:val="22"/>
      <w:u w:val="single"/>
    </w:rPr>
  </w:style>
  <w:style w:styleId="Style_52" w:type="paragraph">
    <w:name w:val="Header and Footer1"/>
    <w:link w:val="Style_52_ch"/>
    <w:pPr>
      <w:widowControl w:val="0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2_ch" w:type="character">
    <w:name w:val="Header and Footer1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toc 8"/>
    <w:next w:val="Style_3"/>
    <w:link w:val="Style_53_ch"/>
    <w:uiPriority w:val="39"/>
    <w:pPr>
      <w:widowControl w:val="0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toc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Contents 2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2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toc 5"/>
    <w:next w:val="Style_3"/>
    <w:link w:val="Style_55_ch"/>
    <w:uiPriority w:val="39"/>
    <w:pPr>
      <w:widowControl w:val="0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5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List"/>
    <w:basedOn w:val="Style_19"/>
    <w:link w:val="Style_56_ch"/>
  </w:style>
  <w:style w:styleId="Style_56_ch" w:type="character">
    <w:name w:val="List"/>
    <w:basedOn w:val="Style_19_ch"/>
    <w:link w:val="Style_56"/>
  </w:style>
  <w:style w:styleId="Style_57" w:type="paragraph">
    <w:name w:val="Heading 3"/>
    <w:link w:val="Style_57_ch"/>
    <w:rPr>
      <w:rFonts w:ascii="XO Thames" w:hAnsi="XO Thames"/>
      <w:b w:val="1"/>
      <w:color w:val="000000"/>
      <w:spacing w:val="0"/>
      <w:sz w:val="26"/>
    </w:rPr>
  </w:style>
  <w:style w:styleId="Style_57_ch" w:type="character">
    <w:name w:val="Heading 3"/>
    <w:link w:val="Style_57"/>
    <w:rPr>
      <w:rFonts w:ascii="XO Thames" w:hAnsi="XO Thames"/>
      <w:b w:val="1"/>
      <w:color w:val="000000"/>
      <w:spacing w:val="0"/>
      <w:sz w:val="26"/>
    </w:rPr>
  </w:style>
  <w:style w:styleId="Style_58" w:type="paragraph">
    <w:name w:val="Default Paragraph Font1"/>
    <w:link w:val="Style_58_ch"/>
    <w:pPr>
      <w:widowControl w:val="0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Default Paragraph Font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Subtitle"/>
    <w:link w:val="Style_59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59_ch" w:type="character">
    <w:name w:val="Subtitle"/>
    <w:link w:val="Style_59"/>
    <w:rPr>
      <w:rFonts w:ascii="XO Thames" w:hAnsi="XO Thames"/>
      <w:i w:val="1"/>
      <w:color w:val="000000"/>
      <w:spacing w:val="0"/>
      <w:sz w:val="24"/>
    </w:rPr>
  </w:style>
  <w:style w:styleId="Style_60" w:type="paragraph">
    <w:name w:val="Balloon Text1"/>
    <w:basedOn w:val="Style_3"/>
    <w:link w:val="Style_60_ch"/>
    <w:pPr>
      <w:widowControl w:val="0"/>
      <w:spacing w:after="0" w:before="0" w:line="240" w:lineRule="auto"/>
      <w:ind/>
    </w:pPr>
    <w:rPr>
      <w:rFonts w:ascii="Tahoma" w:hAnsi="Tahoma"/>
      <w:sz w:val="16"/>
    </w:rPr>
  </w:style>
  <w:style w:styleId="Style_60_ch" w:type="character">
    <w:name w:val="Balloon Text1"/>
    <w:basedOn w:val="Style_3_ch"/>
    <w:link w:val="Style_60"/>
    <w:rPr>
      <w:rFonts w:ascii="Tahoma" w:hAnsi="Tahoma"/>
      <w:sz w:val="16"/>
    </w:rPr>
  </w:style>
  <w:style w:styleId="Style_61" w:type="paragraph">
    <w:name w:val="Title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1_ch" w:type="character">
    <w:name w:val="Title1"/>
    <w:link w:val="Style_61"/>
    <w:rPr>
      <w:rFonts w:ascii="XO Thames" w:hAnsi="XO Thames"/>
      <w:b w:val="1"/>
      <w:caps w:val="1"/>
      <w:color w:val="000000"/>
      <w:spacing w:val="0"/>
      <w:sz w:val="40"/>
    </w:rPr>
  </w:style>
  <w:style w:styleId="Style_62" w:type="paragraph">
    <w:name w:val="Title"/>
    <w:link w:val="Style_62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color w:val="000000"/>
      <w:spacing w:val="0"/>
      <w:sz w:val="40"/>
    </w:rPr>
  </w:style>
  <w:style w:styleId="Style_63" w:type="paragraph">
    <w:name w:val="heading 4"/>
    <w:next w:val="Style_3"/>
    <w:link w:val="Style_63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3_ch" w:type="character">
    <w:name w:val="heading 4"/>
    <w:link w:val="Style_63"/>
    <w:rPr>
      <w:rFonts w:ascii="XO Thames" w:hAnsi="XO Thames"/>
      <w:b w:val="1"/>
      <w:color w:val="000000"/>
      <w:spacing w:val="0"/>
      <w:sz w:val="24"/>
    </w:rPr>
  </w:style>
  <w:style w:styleId="Style_64" w:type="paragraph">
    <w:name w:val="Heading 4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64_ch" w:type="character">
    <w:name w:val="Heading 41"/>
    <w:link w:val="Style_64"/>
    <w:rPr>
      <w:rFonts w:ascii="XO Thames" w:hAnsi="XO Thames"/>
      <w:b w:val="1"/>
      <w:color w:val="000000"/>
      <w:spacing w:val="0"/>
      <w:sz w:val="24"/>
    </w:rPr>
  </w:style>
  <w:style w:styleId="Style_65" w:type="paragraph">
    <w:name w:val="Header and Footer2"/>
    <w:basedOn w:val="Style_3"/>
    <w:link w:val="Style_65_ch"/>
  </w:style>
  <w:style w:styleId="Style_65_ch" w:type="character">
    <w:name w:val="Header and Footer2"/>
    <w:basedOn w:val="Style_3_ch"/>
    <w:link w:val="Style_65"/>
  </w:style>
  <w:style w:styleId="Style_66" w:type="paragraph">
    <w:name w:val="heading 2"/>
    <w:next w:val="Style_3"/>
    <w:link w:val="Style_66_ch"/>
    <w:uiPriority w:val="9"/>
    <w:qFormat/>
    <w:pPr>
      <w:widowControl w:val="0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6_ch" w:type="character">
    <w:name w:val="heading 2"/>
    <w:link w:val="Style_66"/>
    <w:rPr>
      <w:rFonts w:ascii="XO Thames" w:hAnsi="XO Thames"/>
      <w:b w:val="1"/>
      <w:color w:val="000000"/>
      <w:spacing w:val="0"/>
      <w:sz w:val="28"/>
    </w:rPr>
  </w:style>
  <w:style w:styleId="Style_67" w:type="paragraph">
    <w:name w:val="Contents 6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6"/>
    <w:link w:val="Style_67"/>
    <w:rPr>
      <w:rFonts w:ascii="XO Thames" w:hAnsi="XO Thames"/>
      <w:color w:val="000000"/>
      <w:spacing w:val="0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2025-05-07T08:42:59Z</dcterms:modified>
</cp:coreProperties>
</file>