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3839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24.04.2020 №4559-П</w:t>
      </w:r>
    </w:p>
    <w:p w14:paraId="0A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"garantf1://86367.16/"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от 27.07.2010 № 210-ФЗ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"garantf1://57310810.300/"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6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постановление администрации города Магнитогорска </w:t>
      </w:r>
      <w:bookmarkStart w:id="2" w:name="sub_1033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24.04.2020 №4559-П «Об утверждении Административного регламента предоставления администрацией города Магнитогорска государственной услуги по разрешению на изменение имени и (или) фамилии ребенка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случаях, предусмотренных законодательством Российской Федерации»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постановление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10 приложения №1</w:t>
      </w:r>
      <w:r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разделы 4, 5 приложения №1 </w:t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признать утратившими силу.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9"/>
      <w:bookmarkEnd w:id="1"/>
      <w:bookmarkEnd w:id="2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"garantF1://19705420.0"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17"/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"garantF1://8766453.0"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t>.</w:t>
      </w:r>
      <w:bookmarkEnd w:id="4"/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С.Н. Бердников</w:t>
      </w:r>
      <w:bookmarkEnd w:id="3"/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567" w:footer="340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Вр-2101486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2025-04-29T04:43:15Z</dcterms:modified>
</cp:coreProperties>
</file>