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6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7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8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от 22.04.2025 № 3645-П</w:t>
      </w:r>
    </w:p>
    <w:p w14:paraId="09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</w:p>
    <w:p w14:paraId="0A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B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C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 </w:t>
      </w:r>
    </w:p>
    <w:p w14:paraId="0D000000">
      <w:pPr>
        <w:widowControl w:val="0"/>
        <w:spacing w:after="0" w:line="240" w:lineRule="auto"/>
        <w:ind w:firstLine="1077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2025 - 2030 гг.</w:t>
      </w:r>
    </w:p>
    <w:p w14:paraId="0E000000">
      <w:pPr>
        <w:widowControl w:val="0"/>
        <w:spacing w:after="0" w:line="240" w:lineRule="auto"/>
        <w:ind/>
        <w:jc w:val="right"/>
        <w:rPr>
          <w:rFonts w:ascii="Times New Roman" w:hAnsi="Times New Roman"/>
        </w:rPr>
      </w:pPr>
    </w:p>
    <w:p w14:paraId="0F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10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1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«Организация физкультурно-массовой работы с населением»</w:t>
      </w:r>
    </w:p>
    <w:p w14:paraId="12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13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16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17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92,36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92,56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92,81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93,35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 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5,3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60,50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53,97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58,87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59,97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31,72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20,57</w:t>
            </w:r>
          </w:p>
        </w:tc>
      </w:tr>
    </w:tbl>
    <w:p w14:paraId="6C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6D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6E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</w:t>
            </w:r>
            <w:r>
              <w:rPr>
                <w:rFonts w:ascii="Times New Roman" w:hAnsi="Times New Roman"/>
              </w:rPr>
              <w:t xml:space="preserve">муниципального образования данной возрастной категории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</w:t>
            </w:r>
          </w:p>
        </w:tc>
      </w:tr>
      <w:tr>
        <w:trPr>
          <w:trHeight w:hRule="atLeast" w:val="296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30,67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52,97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r>
              <w:rPr>
                <w:rFonts w:ascii="Times New Roman" w:hAnsi="Times New Roman"/>
              </w:rPr>
              <w:t>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</w:t>
            </w:r>
          </w:p>
        </w:tc>
      </w:tr>
      <w:tr>
        <w:trPr>
          <w:trHeight w:hRule="atLeast" w:val="460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населения данной категории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</w:tbl>
    <w:p w14:paraId="EC00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ED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1"/>
        <w:gridCol w:w="3295"/>
        <w:gridCol w:w="1236"/>
        <w:gridCol w:w="2849"/>
        <w:gridCol w:w="2270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5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2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25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населением»</w:t>
            </w:r>
          </w:p>
        </w:tc>
      </w:tr>
      <w:tr>
        <w:trPr>
          <w:trHeight w:hRule="atLeast" w:val="1181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с целью укрепления здоровья, гармоничное и всесторонне развитие личности, воспитание патриотизма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126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мероприятий с целью улучшения физической подготовки жителей города и в целом развитие массового спорта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92,0</w:t>
            </w:r>
          </w:p>
        </w:tc>
      </w:tr>
      <w:t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физкультурно-оздоровительных мероприятий, включенных в календарный план спортивных мероприятий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28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Организация и проведение официальных спортивных </w:t>
            </w:r>
            <w:r>
              <w:rPr>
                <w:rFonts w:ascii="Times New Roman" w:hAnsi="Times New Roman"/>
              </w:rPr>
              <w:t>мероприятий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Проведение спортивных мероприятий, включенных в </w:t>
            </w:r>
            <w:r>
              <w:rPr>
                <w:rFonts w:ascii="Times New Roman" w:hAnsi="Times New Roman"/>
              </w:rPr>
              <w:t>календарный план спортивных мероприятий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6,0</w:t>
            </w:r>
          </w:p>
        </w:tc>
      </w:tr>
      <w:tr>
        <w:trPr>
          <w:trHeight w:hRule="atLeast" w:val="75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Участие спортивных команд города в официальных спортивных мероприятиях </w:t>
            </w:r>
            <w:r>
              <w:rPr>
                <w:rFonts w:ascii="Times New Roman" w:hAnsi="Times New Roman"/>
                <w:highlight w:val="white"/>
              </w:rPr>
              <w:t>по различным видам </w:t>
            </w:r>
            <w:r>
              <w:rPr>
                <w:rFonts w:ascii="Times New Roman" w:hAnsi="Times New Roman"/>
                <w:highlight w:val="white"/>
              </w:rPr>
              <w:t>спорта</w:t>
            </w:r>
            <w:r>
              <w:rPr>
                <w:rFonts w:ascii="Times New Roman" w:hAnsi="Times New Roman"/>
              </w:rPr>
              <w:t xml:space="preserve">, в которых приняли участие спортивные команды города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час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Предоставление в пользование населению объектов спорта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59200,0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36320,0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Принятие участия в официальных физкультурно-оздоровительных мероприятий, включенных в календарный план спортивных мероприятий, в которых принято участие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спортивно-оздоровительных мероприятий с целью стимулирования здорового образа жизни населения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2579,0</w:t>
            </w:r>
          </w:p>
        </w:tc>
      </w:tr>
      <w:tr>
        <w:trPr>
          <w:trHeight w:hRule="atLeast" w:val="32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02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057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909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2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квалификации педагогических работников и руководителей муниципальных </w:t>
            </w:r>
            <w:r>
              <w:rPr>
                <w:rFonts w:ascii="Times New Roman" w:hAnsi="Times New Roman"/>
              </w:rPr>
              <w:t>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повышение квалификации </w:t>
            </w:r>
            <w:r>
              <w:rPr>
                <w:rFonts w:ascii="Times New Roman" w:hAnsi="Times New Roman"/>
              </w:rPr>
              <w:t>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238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</w:t>
            </w:r>
            <w:r>
              <w:rPr>
                <w:rFonts w:ascii="Times New Roman" w:hAnsi="Times New Roman"/>
              </w:rPr>
              <w:t>оплату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71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180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основных средств и материальных запасов в установленные договором сроки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получение спортивных лицензий для участия в спортивных соревнованиях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954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3120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12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 обучения и курсов повышения квалификации работников учреждения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курсов повышения квалификации работников учреждения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3011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Приобретение, изготовление и монтаж основных средств и предметов длительного пользования, материальных </w:t>
            </w:r>
            <w:r>
              <w:rPr>
                <w:rFonts w:ascii="Times New Roman" w:hAnsi="Times New Roman"/>
              </w:rPr>
              <w:t xml:space="preserve">запасов, инвентаря и выполнение работ 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приобретение, изготовление и монтаж основных средств </w:t>
            </w:r>
            <w:r>
              <w:rPr>
                <w:rFonts w:ascii="Times New Roman" w:hAnsi="Times New Roman"/>
              </w:rPr>
              <w:t>и предметов длительного пользования, материальных запасов, инвентаря и выполнение работ (Парк Ветеранов Магнитки)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1093"/>
        </w:trPr>
        <w:tc>
          <w:tcPr>
            <w:tcW w:type="dxa" w:w="5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32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Посадка, обрезка, валка, корчевание деревьев и кустарников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2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посадку, обрезку , валку, корчевание деревьев и кустарников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2F02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3002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="-5" w:tblpY="136" w:topFromText="0" w:vertAnchor="text"/>
        <w:tblW w:type="auto" w:w="0"/>
        <w:tblLayout w:type="fixed"/>
      </w:tblPr>
      <w:tblGrid>
        <w:gridCol w:w="5240"/>
        <w:gridCol w:w="1417"/>
        <w:gridCol w:w="1276"/>
        <w:gridCol w:w="1418"/>
        <w:gridCol w:w="1275"/>
        <w:gridCol w:w="1418"/>
        <w:gridCol w:w="1559"/>
        <w:gridCol w:w="1305"/>
      </w:tblGrid>
      <w:tr>
        <w:tc>
          <w:tcPr>
            <w:tcW w:type="dxa" w:w="5240"/>
            <w:vMerge w:val="restart"/>
          </w:tcPr>
          <w:p w14:paraId="31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3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251"/>
            <w:gridSpan w:val="6"/>
          </w:tcPr>
          <w:p w14:paraId="33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4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3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76"/>
            <w:vAlign w:val="center"/>
          </w:tcPr>
          <w:p w14:paraId="3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3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5"/>
            <w:vAlign w:val="center"/>
          </w:tcPr>
          <w:p w14:paraId="3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3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9"/>
          </w:tcPr>
          <w:p w14:paraId="3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305"/>
          </w:tcPr>
          <w:p w14:paraId="3A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240"/>
            <w:vAlign w:val="center"/>
          </w:tcPr>
          <w:p w14:paraId="3B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3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vAlign w:val="center"/>
          </w:tcPr>
          <w:p w14:paraId="3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3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vAlign w:val="center"/>
          </w:tcPr>
          <w:p w14:paraId="3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4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9"/>
          </w:tcPr>
          <w:p w14:paraId="4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305"/>
          </w:tcPr>
          <w:p w14:paraId="42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240"/>
          </w:tcPr>
          <w:p w14:paraId="43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vAlign w:val="center"/>
          </w:tcPr>
          <w:p w14:paraId="4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161 461,55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vAlign w:val="center"/>
          </w:tcPr>
          <w:p w14:paraId="4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418"/>
            <w:vAlign w:val="center"/>
          </w:tcPr>
          <w:p w14:paraId="4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154 547,99  </w:t>
            </w:r>
          </w:p>
        </w:tc>
        <w:tc>
          <w:tcPr>
            <w:tcW w:type="dxa" w:w="1275"/>
            <w:vAlign w:val="center"/>
          </w:tcPr>
          <w:p w14:paraId="4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136 297,39  </w:t>
            </w:r>
          </w:p>
        </w:tc>
        <w:tc>
          <w:tcPr>
            <w:tcW w:type="dxa" w:w="1418"/>
            <w:vAlign w:val="center"/>
          </w:tcPr>
          <w:p w14:paraId="4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145 940,28  </w:t>
            </w:r>
          </w:p>
        </w:tc>
        <w:tc>
          <w:tcPr>
            <w:tcW w:type="dxa" w:w="1559"/>
            <w:vAlign w:val="center"/>
          </w:tcPr>
          <w:p w14:paraId="4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168 554,92  </w:t>
            </w:r>
          </w:p>
        </w:tc>
        <w:tc>
          <w:tcPr>
            <w:tcW w:type="dxa" w:w="1305"/>
            <w:vAlign w:val="center"/>
          </w:tcPr>
          <w:p w14:paraId="4A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921 350,12  </w:t>
            </w:r>
          </w:p>
        </w:tc>
      </w:tr>
      <w:tr>
        <w:tc>
          <w:tcPr>
            <w:tcW w:type="dxa" w:w="5240"/>
          </w:tcPr>
          <w:p w14:paraId="4B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vAlign w:val="center"/>
          </w:tcPr>
          <w:p w14:paraId="4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4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4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4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5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5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52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240"/>
          </w:tcPr>
          <w:p w14:paraId="53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vAlign w:val="center"/>
          </w:tcPr>
          <w:p w14:paraId="5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6"/>
            <w:vAlign w:val="center"/>
          </w:tcPr>
          <w:p w14:paraId="5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418"/>
            <w:vAlign w:val="center"/>
          </w:tcPr>
          <w:p w14:paraId="5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10 455,73  </w:t>
            </w:r>
          </w:p>
        </w:tc>
        <w:tc>
          <w:tcPr>
            <w:tcW w:type="dxa" w:w="1275"/>
            <w:vAlign w:val="center"/>
          </w:tcPr>
          <w:p w14:paraId="5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418"/>
            <w:vAlign w:val="center"/>
          </w:tcPr>
          <w:p w14:paraId="5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559"/>
            <w:vAlign w:val="center"/>
          </w:tcPr>
          <w:p w14:paraId="5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10 383,40  </w:t>
            </w:r>
          </w:p>
        </w:tc>
        <w:tc>
          <w:tcPr>
            <w:tcW w:type="dxa" w:w="1305"/>
            <w:vAlign w:val="center"/>
          </w:tcPr>
          <w:p w14:paraId="5A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62 517,40  </w:t>
            </w:r>
          </w:p>
        </w:tc>
      </w:tr>
      <w:tr>
        <w:tc>
          <w:tcPr>
            <w:tcW w:type="dxa" w:w="5240"/>
          </w:tcPr>
          <w:p w14:paraId="5B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vAlign w:val="center"/>
          </w:tcPr>
          <w:p w14:paraId="5C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151 005,82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276"/>
            <w:vAlign w:val="center"/>
          </w:tcPr>
          <w:p w14:paraId="5D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418"/>
            <w:vAlign w:val="center"/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144 092,26  </w:t>
            </w:r>
          </w:p>
        </w:tc>
        <w:tc>
          <w:tcPr>
            <w:tcW w:type="dxa" w:w="1275"/>
            <w:vAlign w:val="center"/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125 913,99  </w:t>
            </w:r>
          </w:p>
        </w:tc>
        <w:tc>
          <w:tcPr>
            <w:tcW w:type="dxa" w:w="1418"/>
            <w:vAlign w:val="center"/>
          </w:tcPr>
          <w:p w14:paraId="60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135 556,88  </w:t>
            </w:r>
          </w:p>
        </w:tc>
        <w:tc>
          <w:tcPr>
            <w:tcW w:type="dxa" w:w="1559"/>
            <w:vAlign w:val="center"/>
          </w:tcPr>
          <w:p w14:paraId="61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158 171,52  </w:t>
            </w:r>
          </w:p>
        </w:tc>
        <w:tc>
          <w:tcPr>
            <w:tcW w:type="dxa" w:w="1305"/>
            <w:vAlign w:val="center"/>
          </w:tcPr>
          <w:p w14:paraId="62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858 832,72  </w:t>
            </w:r>
          </w:p>
        </w:tc>
      </w:tr>
      <w:tr>
        <w:tc>
          <w:tcPr>
            <w:tcW w:type="dxa" w:w="5240"/>
          </w:tcPr>
          <w:p w14:paraId="6302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vAlign w:val="center"/>
          </w:tcPr>
          <w:p w14:paraId="64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vAlign w:val="center"/>
          </w:tcPr>
          <w:p w14:paraId="65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6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vAlign w:val="center"/>
          </w:tcPr>
          <w:p w14:paraId="67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8"/>
            <w:vAlign w:val="center"/>
          </w:tcPr>
          <w:p w14:paraId="68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559"/>
            <w:vAlign w:val="center"/>
          </w:tcPr>
          <w:p w14:paraId="6902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05"/>
            <w:vAlign w:val="center"/>
          </w:tcPr>
          <w:p w14:paraId="6A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6B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</w:p>
    <w:p w14:paraId="6C02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6D02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234"/>
        <w:gridCol w:w="5305"/>
        <w:gridCol w:w="3866"/>
        <w:gridCol w:w="2251"/>
        <w:gridCol w:w="2272"/>
      </w:tblGrid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928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(за исключением тестирования выполнения нормативов комплекса ГТО)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доступа к объектам спорта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Заключенное соглашение о порядке и условиях предоставления субсидии на </w:t>
            </w:r>
            <w:r>
              <w:rPr>
                <w:rFonts w:ascii="Times New Roman" w:hAnsi="Times New Roman"/>
              </w:rPr>
              <w:t>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выполнена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услуг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>Оплата товаров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Контракты/ акты/ 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педагогических работников и руководителей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услуг спортивных судей и инструкторов по спорту, организующих работу с населением по выполнению норм Всероссийского физкультурно-спортивного комплекса «Готов к труду и обороне» в местных центрах тестирования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1.17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 по подготовке и содержанию тюбинговых и лыжных трасс (склонов)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спортивных лицензий для участия в спортивных соревнованиях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1.21.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1.22.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1.23.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1.24.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 (Парк у Вечного огня)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1.25.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риобретение, изготовление и монтаж основных средств и предметов длительного пользования, материальных запасов, инвентаря и выполнение работ (Парк «Южный»)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1.26.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риобретение, изготовление и монтаж основных средств и предметов длительного пользования, материальных запасов, инвентаря и выполнение работ </w:t>
            </w:r>
            <w:r>
              <w:rPr>
                <w:rFonts w:ascii="Times New Roman" w:hAnsi="Times New Roman"/>
              </w:rPr>
              <w:t xml:space="preserve">(Парк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Ветеранов Магнитки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</w:t>
            </w: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Посадка, обрезка, валка</w:t>
            </w:r>
            <w:r>
              <w:rPr>
                <w:rFonts w:ascii="Times New Roman" w:hAnsi="Times New Roman"/>
              </w:rPr>
              <w:t>, корчевание деревьев и кустарников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работ</w:t>
            </w:r>
          </w:p>
        </w:tc>
        <w:tc>
          <w:tcPr>
            <w:tcW w:type="dxa" w:w="3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2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3704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38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39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3A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образовательных программ спортивной подготовки»</w:t>
      </w:r>
    </w:p>
    <w:p w14:paraId="3B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p w14:paraId="3C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3F0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6"/>
        </w:rPr>
      </w:pPr>
    </w:p>
    <w:p w14:paraId="40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104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63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6404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6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6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41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</w:tbl>
    <w:p w14:paraId="9704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9804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9"/>
        <w:gridCol w:w="3292"/>
        <w:gridCol w:w="1203"/>
        <w:gridCol w:w="3340"/>
        <w:gridCol w:w="2150"/>
        <w:gridCol w:w="729"/>
        <w:gridCol w:w="729"/>
        <w:gridCol w:w="729"/>
        <w:gridCol w:w="729"/>
        <w:gridCol w:w="729"/>
        <w:gridCol w:w="729"/>
      </w:tblGrid>
      <w:tr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2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33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1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7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соревнованиях»</w:t>
            </w:r>
          </w:p>
        </w:tc>
      </w:tr>
      <w:tr>
        <w:trPr>
          <w:trHeight w:hRule="atLeast" w:val="203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программам спортивной подготовки по 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4468</w:t>
            </w:r>
            <w:r>
              <w:rPr>
                <w:rFonts w:ascii="Times New Roman" w:hAnsi="Times New Roman"/>
              </w:rPr>
              <w:t>,0</w:t>
            </w:r>
          </w:p>
        </w:tc>
      </w:tr>
      <w:tr>
        <w:trPr>
          <w:trHeight w:hRule="atLeast" w:val="686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неолимпийским видам спорта, (число 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</w:tr>
      <w:tr>
        <w:trPr>
          <w:trHeight w:hRule="atLeast" w:val="3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Реализация дополнительных образовательных программ спортивной подготовки по адаптивным видам спорта. Спорт лиц с интеллектуальными </w:t>
            </w:r>
            <w:r>
              <w:rPr>
                <w:rFonts w:ascii="Times New Roman" w:hAnsi="Times New Roman"/>
              </w:rPr>
              <w:t>нарушениями.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услуг по </w:t>
            </w:r>
            <w:r>
              <w:rPr>
                <w:rFonts w:ascii="Times New Roman" w:hAnsi="Times New Roman"/>
              </w:rPr>
              <w:t>дополнительны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</w:t>
            </w:r>
            <w:r>
              <w:rPr>
                <w:rFonts w:ascii="Times New Roman" w:hAnsi="Times New Roman"/>
              </w:rPr>
              <w:t>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>
        <w:trPr>
          <w:trHeight w:hRule="atLeast" w:val="28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</w:rPr>
              <w:t xml:space="preserve">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16,0</w:t>
            </w:r>
          </w:p>
        </w:tc>
      </w:tr>
      <w:tr>
        <w:trPr>
          <w:trHeight w:hRule="atLeast" w:val="754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образовательным программ</w:t>
            </w:r>
            <w:r>
              <w:rPr>
                <w:rFonts w:ascii="Times New Roman" w:hAnsi="Times New Roman"/>
                <w:sz w:val="24"/>
              </w:rPr>
              <w:t>ам</w:t>
            </w:r>
            <w:r>
              <w:rPr>
                <w:rFonts w:ascii="Times New Roman" w:hAnsi="Times New Roman"/>
              </w:rPr>
              <w:t xml:space="preserve"> спортивной подготовки по адаптивным видам спорта (число лиц, прошедших спортивную подготовку на этапе спортивной подготовки)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мероприятий, включенных в единый календарный план спортивных мероприятий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71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Поощрение денежными выплатами за призовые места на Всероссийских и международных соревнованиях 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чел.</w:t>
            </w:r>
          </w:p>
          <w:p w14:paraId="F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физических лиц, получивших денежное поощрение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оплату налогов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</w:t>
            </w:r>
            <w:r>
              <w:rPr>
                <w:rFonts w:ascii="Times New Roman" w:hAnsi="Times New Roman"/>
              </w:rPr>
              <w:t>проведение капитальных, текущих, аварийных ремонтов, разработку проектно-сметной документации, проведение экспертизы проектно-сметной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проведение специальной оценки условий труда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рофессиональн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гигиеническ</w:t>
            </w:r>
            <w:r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профессиональную гигиеническую подготовку и аттестацию должностных лиц и работников организаций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зданий и конструкций, измерение и оценка состояния сетей, </w:t>
            </w:r>
            <w:r>
              <w:rPr>
                <w:rFonts w:ascii="Times New Roman" w:hAnsi="Times New Roman"/>
              </w:rPr>
              <w:t>приборов и оборудования различного назначения, поверка счетчиков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 оплату за технологическое подключение (присоединение) к сетям газораспределения, водоснабжения, канализации, электрическим и тепловым сетям; за техническое обследование </w:t>
            </w:r>
            <w:r>
              <w:rPr>
                <w:rFonts w:ascii="Times New Roman" w:hAnsi="Times New Roman"/>
              </w:rPr>
              <w:t>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оплату обучения и курсов повышения квалификации работников учреждения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 оказание услуг (выполнение работ) по сертификации спортивных объектов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64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реализацию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490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единовременное поощрение главы города Магнитогорска одаренных детей в возрасте от 7 до 18 лет, занимающихся в муниципальных учреждениях, 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22"/>
        </w:trP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32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Финансовая поддержка муниципальных учреждений, </w:t>
            </w:r>
            <w:r>
              <w:rPr>
                <w:rFonts w:ascii="Times New Roman" w:hAnsi="Times New Roman"/>
              </w:rPr>
              <w:t>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финансовую </w:t>
            </w:r>
            <w:r>
              <w:rPr>
                <w:rFonts w:ascii="Times New Roman" w:hAnsi="Times New Roman"/>
              </w:rPr>
              <w:t>поддержку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2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14:paraId="7805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79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070"/>
        <w:gridCol w:w="1417"/>
        <w:gridCol w:w="1448"/>
        <w:gridCol w:w="1245"/>
        <w:gridCol w:w="1276"/>
        <w:gridCol w:w="1276"/>
        <w:gridCol w:w="1417"/>
        <w:gridCol w:w="1974"/>
      </w:tblGrid>
      <w:tr>
        <w:tc>
          <w:tcPr>
            <w:tcW w:type="dxa" w:w="5070"/>
            <w:vMerge w:val="restart"/>
          </w:tcPr>
          <w:p w14:paraId="7A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7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636"/>
            <w:gridSpan w:val="6"/>
          </w:tcPr>
          <w:p w14:paraId="7C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70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7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48"/>
            <w:vAlign w:val="center"/>
          </w:tcPr>
          <w:p w14:paraId="7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45"/>
            <w:vAlign w:val="center"/>
          </w:tcPr>
          <w:p w14:paraId="7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vAlign w:val="center"/>
          </w:tcPr>
          <w:p w14:paraId="8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</w:tcPr>
          <w:p w14:paraId="8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7"/>
          </w:tcPr>
          <w:p w14:paraId="8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974"/>
          </w:tcPr>
          <w:p w14:paraId="83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070"/>
            <w:vAlign w:val="center"/>
          </w:tcPr>
          <w:p w14:paraId="84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8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48"/>
            <w:vAlign w:val="center"/>
          </w:tcPr>
          <w:p w14:paraId="8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45"/>
            <w:vAlign w:val="center"/>
          </w:tcPr>
          <w:p w14:paraId="8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vAlign w:val="center"/>
          </w:tcPr>
          <w:p w14:paraId="8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</w:tcPr>
          <w:p w14:paraId="8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8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74"/>
          </w:tcPr>
          <w:p w14:paraId="8B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70"/>
        </w:trPr>
        <w:tc>
          <w:tcPr>
            <w:tcW w:type="dxa" w:w="5070"/>
          </w:tcPr>
          <w:p w14:paraId="8C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370 868,16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44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293 681,65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304 663,14  </w:t>
            </w:r>
          </w:p>
        </w:tc>
        <w:tc>
          <w:tcPr>
            <w:tcW w:type="dxa" w:w="197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1 883 202,37  </w:t>
            </w:r>
          </w:p>
        </w:tc>
      </w:tr>
      <w:tr>
        <w:tc>
          <w:tcPr>
            <w:tcW w:type="dxa" w:w="5070"/>
          </w:tcPr>
          <w:p w14:paraId="94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070"/>
          </w:tcPr>
          <w:p w14:paraId="9C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5 984,84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35 909,06  </w:t>
            </w:r>
          </w:p>
        </w:tc>
      </w:tr>
      <w:tr>
        <w:tc>
          <w:tcPr>
            <w:tcW w:type="dxa" w:w="5070"/>
          </w:tcPr>
          <w:p w14:paraId="A4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364 883,32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287 696,80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298 678,30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1 847 293,31  </w:t>
            </w:r>
          </w:p>
        </w:tc>
      </w:tr>
      <w:tr>
        <w:tc>
          <w:tcPr>
            <w:tcW w:type="dxa" w:w="5070"/>
          </w:tcPr>
          <w:p w14:paraId="AC05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4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4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41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5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97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5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B405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B505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B605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B705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9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неолимпийским видам спорта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1.1. Утверждено муниципальное </w:t>
            </w:r>
            <w:r>
              <w:rPr>
                <w:rFonts w:ascii="Times New Roman" w:hAnsi="Times New Roman"/>
              </w:rPr>
              <w:t>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лиц с интеллектуальными нарушениями.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5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5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глухих.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образовательных программ спортивной подготовки по адаптивным видам спорта. Спорт слепых.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Организация и проведение официальных спортивных мероприятий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Утверждено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Заключенное 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Работа  выполнена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Поощрение денежными выплатами за призовые места на Всероссийских и международных соревнованиях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Оплата единовременного поощрения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налогов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Платежный документ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капитальных, текущих, аварийных ремонтов, разработку проектно-сметной документации, проведение экспертизы проектно-</w:t>
            </w:r>
            <w:r>
              <w:rPr>
                <w:rFonts w:ascii="Times New Roman" w:hAnsi="Times New Roman"/>
              </w:rPr>
              <w:t>сметной документации для проведения ремонтных работ, изыскательные работы, работы и услуги по содержанию имущества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товаров, работ и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риобретение материальных запасов, на приобретение (изготовление) объектов, относящихся к основным средствам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товаров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роведение специальной оценки условий труда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гигиеническая</w:t>
            </w:r>
            <w:r>
              <w:rPr>
                <w:rFonts w:ascii="Times New Roman" w:hAnsi="Times New Roman"/>
              </w:rPr>
              <w:t xml:space="preserve"> подг</w:t>
            </w:r>
            <w:r>
              <w:rPr>
                <w:rFonts w:ascii="Times New Roman" w:hAnsi="Times New Roman"/>
              </w:rPr>
              <w:t>отовка и аттестация</w:t>
            </w:r>
            <w:r>
              <w:rPr>
                <w:rFonts w:ascii="Times New Roman" w:hAnsi="Times New Roman"/>
              </w:rPr>
              <w:t xml:space="preserve"> должностных лиц и работников организаций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1.13.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за технологическое подключение (присоединение) к сетям газораспределения, водоснабжения, канализации, электрическим и </w:t>
            </w:r>
            <w:r>
              <w:rPr>
                <w:rFonts w:ascii="Times New Roman" w:hAnsi="Times New Roman"/>
              </w:rPr>
              <w:t>тепловым сетям; за техническое обследование зданий и конструкций, измерение и оценка состояния сетей, приборов и оборудования различного назначения, поверка счетчиков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Оплата</w:t>
            </w:r>
            <w:r>
              <w:rPr>
                <w:rFonts w:ascii="Times New Roman" w:hAnsi="Times New Roman"/>
              </w:rPr>
              <w:t xml:space="preserve"> обучения и курсов повышения квалификации работников учреждения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</w:t>
            </w:r>
            <w:r>
              <w:rPr>
                <w:rFonts w:ascii="Times New Roman" w:hAnsi="Times New Roman"/>
              </w:rPr>
              <w:t>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казание услуг (выполнение работ) по сертификации спортивных объектов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 в соответствии с Реестром наказов избирателей депутатам Магнитогорского городского Собрания депутатов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Единовременное поощрение главы города Магнитогорска одаренных детей в возрасте от 7 до 18 лет, занимающихся в муниципальных учреждениях, </w:t>
            </w:r>
            <w:r>
              <w:rPr>
                <w:rFonts w:ascii="Times New Roman" w:hAnsi="Times New Roman"/>
              </w:rPr>
              <w:t>негосударственных учреждениях, за  высокие спортивные достижения и их наставников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1.2. Оплата мероприятий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Финансовая поддержка муниципальных учреждений, реализующих дополнительные образовательные программы спортивной подготовки на учебно-тренировочных этапах (этапах спортивной специализации), в том числе для приобретения спортивного инвентаря и оборудования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6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Заключенное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6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1.2. Оплата услуг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Платежный документ</w:t>
            </w:r>
          </w:p>
        </w:tc>
      </w:tr>
    </w:tbl>
    <w:p w14:paraId="F006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F1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F2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F306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«Реализация дополнительных общеразвивающих программ в области физической культуры и спорта»</w:t>
      </w:r>
    </w:p>
    <w:p w14:paraId="F406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F5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F80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0"/>
        </w:rPr>
      </w:pPr>
    </w:p>
    <w:p w14:paraId="F9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FA06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158"/>
        </w:trP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1C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1D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1E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2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2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принявших участие в спортивных мероприятиях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7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7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</w:tbl>
    <w:p w14:paraId="5107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52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7"/>
        <w:gridCol w:w="2365"/>
        <w:gridCol w:w="1364"/>
        <w:gridCol w:w="2945"/>
        <w:gridCol w:w="2743"/>
        <w:gridCol w:w="839"/>
        <w:gridCol w:w="839"/>
        <w:gridCol w:w="839"/>
        <w:gridCol w:w="839"/>
        <w:gridCol w:w="839"/>
        <w:gridCol w:w="839"/>
      </w:tblGrid>
      <w:tr>
        <w:tc>
          <w:tcPr>
            <w:tcW w:type="dxa" w:w="4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3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9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7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92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«Содействие гармоничному развитию, всесторонней физической подготовленности и укреплению здоровья обучающихся»</w:t>
            </w:r>
          </w:p>
        </w:tc>
      </w:tr>
      <w:tr>
        <w:trPr>
          <w:trHeight w:hRule="atLeast" w:val="625"/>
        </w:trPr>
        <w:tc>
          <w:tcPr>
            <w:tcW w:type="dxa" w:w="4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3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13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человеко-час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услуг по дополнительным общеразвивающим программам (количество человеко-часов)</w:t>
            </w:r>
          </w:p>
        </w:tc>
        <w:tc>
          <w:tcPr>
            <w:tcW w:type="dxa" w:w="27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4272,0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type="dxa" w:w="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52253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14:paraId="76070000">
      <w:pPr>
        <w:pageBreakBefore w:val="1"/>
        <w:widowControl w:val="0"/>
        <w:tabs>
          <w:tab w:leader="none" w:pos="7468" w:val="center"/>
        </w:tabs>
        <w:spacing w:after="0" w:line="240" w:lineRule="auto"/>
        <w:ind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77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7196"/>
        <w:gridCol w:w="1125"/>
        <w:gridCol w:w="993"/>
        <w:gridCol w:w="1275"/>
        <w:gridCol w:w="993"/>
        <w:gridCol w:w="992"/>
        <w:gridCol w:w="1134"/>
        <w:gridCol w:w="1730"/>
      </w:tblGrid>
      <w:tr>
        <w:tc>
          <w:tcPr>
            <w:tcW w:type="dxa" w:w="7196"/>
            <w:vMerge w:val="restart"/>
          </w:tcPr>
          <w:p w14:paraId="78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125"/>
          </w:tcPr>
          <w:p w14:paraId="7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117"/>
            <w:gridSpan w:val="6"/>
          </w:tcPr>
          <w:p w14:paraId="7A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7196"/>
            <w:gridSpan w:val="1"/>
            <w:vMerge w:val="continue"/>
          </w:tcPr>
          <w:p/>
        </w:tc>
        <w:tc>
          <w:tcPr>
            <w:tcW w:type="dxa" w:w="1125"/>
            <w:vAlign w:val="center"/>
          </w:tcPr>
          <w:p w14:paraId="7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3"/>
            <w:vAlign w:val="center"/>
          </w:tcPr>
          <w:p w14:paraId="7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5"/>
            <w:vAlign w:val="center"/>
          </w:tcPr>
          <w:p w14:paraId="7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993"/>
            <w:vAlign w:val="center"/>
          </w:tcPr>
          <w:p w14:paraId="7E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992"/>
          </w:tcPr>
          <w:p w14:paraId="7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4"/>
          </w:tcPr>
          <w:p w14:paraId="8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30"/>
          </w:tcPr>
          <w:p w14:paraId="8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7196"/>
            <w:vAlign w:val="center"/>
          </w:tcPr>
          <w:p w14:paraId="82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125"/>
            <w:vAlign w:val="center"/>
          </w:tcPr>
          <w:p w14:paraId="83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3"/>
            <w:vAlign w:val="center"/>
          </w:tcPr>
          <w:p w14:paraId="84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5"/>
            <w:vAlign w:val="center"/>
          </w:tcPr>
          <w:p w14:paraId="85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993"/>
            <w:vAlign w:val="center"/>
          </w:tcPr>
          <w:p w14:paraId="86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992"/>
          </w:tcPr>
          <w:p w14:paraId="87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</w:tcPr>
          <w:p w14:paraId="88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30"/>
          </w:tcPr>
          <w:p w14:paraId="8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7196"/>
          </w:tcPr>
          <w:p w14:paraId="8A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92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9A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7196"/>
          </w:tcPr>
          <w:p w14:paraId="A2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3 602,32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3 502,79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21 116,26</w:t>
            </w:r>
          </w:p>
        </w:tc>
      </w:tr>
      <w:tr>
        <w:tc>
          <w:tcPr>
            <w:tcW w:type="dxa" w:w="7196"/>
          </w:tcPr>
          <w:p w14:paraId="AA07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12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7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B2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B3070000">
      <w:pPr>
        <w:widowControl w:val="0"/>
        <w:spacing w:after="0" w:line="240" w:lineRule="auto"/>
        <w:ind w:firstLine="720" w:lef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B407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6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Реализация дополнительных общеразвивающих программ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7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</w:t>
            </w:r>
            <w:r>
              <w:rPr>
                <w:rFonts w:ascii="Times New Roman" w:hAnsi="Times New Roman"/>
              </w:rPr>
              <w:t>ждено</w:t>
            </w:r>
            <w:r>
              <w:rPr>
                <w:rFonts w:ascii="Times New Roman" w:hAnsi="Times New Roman"/>
              </w:rPr>
              <w:t xml:space="preserve"> муниципальное задание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Муниципальное задание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Контрольная точка 1.2. </w:t>
            </w:r>
            <w:r>
              <w:rPr>
                <w:rFonts w:ascii="Times New Roman" w:hAnsi="Times New Roman"/>
              </w:rPr>
              <w:t xml:space="preserve">Заключенное соглашение </w:t>
            </w:r>
            <w:r>
              <w:rPr>
                <w:rFonts w:ascii="Times New Roman" w:hAnsi="Times New Roman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Заключенные соглашения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7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Услуга оказана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выполнении муниципального задания</w:t>
            </w:r>
          </w:p>
        </w:tc>
      </w:tr>
    </w:tbl>
    <w:p w14:paraId="D5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6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7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8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9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A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B07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DC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DD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DE07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«Сопровождение деятельности учреждений»</w:t>
      </w:r>
    </w:p>
    <w:p w14:paraId="DF07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E0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E307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E40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E507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</w:tr>
    </w:tbl>
    <w:p w14:paraId="07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08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0908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8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271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N</w:t>
            </w:r>
          </w:p>
          <w:p w14:paraId="0B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Плановые значения по месяцам</w:t>
            </w:r>
          </w:p>
        </w:tc>
        <w:tc>
          <w:tcPr>
            <w:tcW w:type="dxa" w:w="12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 конец</w:t>
            </w:r>
          </w:p>
          <w:p w14:paraId="10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2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type="dxa" w:w="1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</w:p>
        </w:tc>
      </w:tr>
      <w:tr>
        <w:trPr>
          <w:trHeight w:hRule="atLeast" w:val="14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14454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80000">
            <w:pPr>
              <w:pStyle w:val="Style_4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Доля освоенных средств, направленных на сопровождение деятельности учреждений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2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4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90,0</w:t>
            </w:r>
          </w:p>
        </w:tc>
      </w:tr>
    </w:tbl>
    <w:p w14:paraId="3C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3D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3063"/>
        <w:gridCol w:w="1305"/>
        <w:gridCol w:w="2334"/>
        <w:gridCol w:w="1806"/>
        <w:gridCol w:w="1010"/>
        <w:gridCol w:w="1129"/>
        <w:gridCol w:w="1095"/>
        <w:gridCol w:w="1010"/>
        <w:gridCol w:w="1134"/>
        <w:gridCol w:w="1004"/>
      </w:tblGrid>
      <w:tr>
        <w:tc>
          <w:tcPr>
            <w:tcW w:type="dxa" w:w="4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0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30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8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1536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финансового сопровождения для решения задач функционирования и развития физической культуры и спорта города Магнитогорска»</w:t>
            </w:r>
          </w:p>
        </w:tc>
      </w:tr>
      <w:tr>
        <w:tc>
          <w:tcPr>
            <w:tcW w:type="dxa" w:w="4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0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13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сопровождение деятельности учреждений</w:t>
            </w:r>
          </w:p>
        </w:tc>
        <w:tc>
          <w:tcPr>
            <w:tcW w:type="dxa" w:w="1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20 673,24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29 832,49</w:t>
            </w:r>
          </w:p>
        </w:tc>
        <w:tc>
          <w:tcPr>
            <w:tcW w:type="dxa" w:w="11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  <w:tc>
          <w:tcPr>
            <w:tcW w:type="dxa" w:w="10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28 758,27</w:t>
            </w:r>
          </w:p>
        </w:tc>
      </w:tr>
    </w:tbl>
    <w:p w14:paraId="61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62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6091"/>
        <w:gridCol w:w="1266"/>
        <w:gridCol w:w="1096"/>
        <w:gridCol w:w="1096"/>
        <w:gridCol w:w="1096"/>
        <w:gridCol w:w="1096"/>
        <w:gridCol w:w="1130"/>
        <w:gridCol w:w="2159"/>
      </w:tblGrid>
      <w:tr>
        <w:tc>
          <w:tcPr>
            <w:tcW w:type="dxa" w:w="6091"/>
            <w:vMerge w:val="restart"/>
          </w:tcPr>
          <w:p w14:paraId="63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266"/>
          </w:tcPr>
          <w:p w14:paraId="6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73"/>
            <w:gridSpan w:val="6"/>
          </w:tcPr>
          <w:p w14:paraId="65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091"/>
            <w:gridSpan w:val="1"/>
            <w:vMerge w:val="continue"/>
          </w:tcPr>
          <w:p/>
        </w:tc>
        <w:tc>
          <w:tcPr>
            <w:tcW w:type="dxa" w:w="1266"/>
            <w:vAlign w:val="center"/>
          </w:tcPr>
          <w:p w14:paraId="6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96"/>
            <w:vAlign w:val="center"/>
          </w:tcPr>
          <w:p w14:paraId="6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96"/>
            <w:vAlign w:val="center"/>
          </w:tcPr>
          <w:p w14:paraId="6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96"/>
            <w:vAlign w:val="center"/>
          </w:tcPr>
          <w:p w14:paraId="6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096"/>
          </w:tcPr>
          <w:p w14:paraId="6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0"/>
          </w:tcPr>
          <w:p w14:paraId="6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2159"/>
          </w:tcPr>
          <w:p w14:paraId="6C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6091"/>
            <w:vAlign w:val="center"/>
          </w:tcPr>
          <w:p w14:paraId="6D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66"/>
            <w:vAlign w:val="center"/>
          </w:tcPr>
          <w:p w14:paraId="6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96"/>
            <w:vAlign w:val="center"/>
          </w:tcPr>
          <w:p w14:paraId="6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096"/>
            <w:vAlign w:val="center"/>
          </w:tcPr>
          <w:p w14:paraId="7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96"/>
            <w:vAlign w:val="center"/>
          </w:tcPr>
          <w:p w14:paraId="7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96"/>
          </w:tcPr>
          <w:p w14:paraId="7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0"/>
          </w:tcPr>
          <w:p w14:paraId="7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2159"/>
          </w:tcPr>
          <w:p w14:paraId="74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6091"/>
          </w:tcPr>
          <w:p w14:paraId="75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29 826,00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173 617,33  </w:t>
            </w:r>
          </w:p>
        </w:tc>
      </w:tr>
      <w:tr>
        <w:tc>
          <w:tcPr>
            <w:tcW w:type="dxa" w:w="6091"/>
          </w:tcPr>
          <w:p w14:paraId="7D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85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6091"/>
          </w:tcPr>
          <w:p w14:paraId="8D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29 826,00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28 758,27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173 617,33  </w:t>
            </w:r>
          </w:p>
        </w:tc>
      </w:tr>
      <w:tr>
        <w:tc>
          <w:tcPr>
            <w:tcW w:type="dxa" w:w="6091"/>
          </w:tcPr>
          <w:p w14:paraId="9508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6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09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8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215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8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9D08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9E08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0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</w:t>
            </w:r>
            <w:r>
              <w:rPr>
                <w:rFonts w:ascii="Times New Roman" w:hAnsi="Times New Roman"/>
              </w:rPr>
              <w:t>енная смета</w:t>
            </w:r>
            <w:r>
              <w:rPr>
                <w:rFonts w:ascii="Times New Roman" w:hAnsi="Times New Roman"/>
              </w:rPr>
              <w:t xml:space="preserve">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8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</w:t>
            </w:r>
            <w:r>
              <w:rPr>
                <w:rFonts w:ascii="Times New Roman" w:hAnsi="Times New Roman"/>
              </w:rPr>
              <w:t xml:space="preserve">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</w:tbl>
    <w:p w14:paraId="BA08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BB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BC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BD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«Обеспечение функционирования Управления по физической культуре и спорту администрации города Магнитогорска»</w:t>
      </w:r>
    </w:p>
    <w:p w14:paraId="BE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BF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969"/>
        <w:gridCol w:w="5959"/>
      </w:tblGrid>
      <w:tr>
        <w:tc>
          <w:tcPr>
            <w:tcW w:type="dxa" w:w="8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C2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</w:rPr>
      </w:pPr>
    </w:p>
    <w:p w14:paraId="C3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C4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73"/>
        <w:gridCol w:w="3484"/>
        <w:gridCol w:w="1600"/>
        <w:gridCol w:w="3183"/>
        <w:gridCol w:w="1108"/>
        <w:gridCol w:w="1161"/>
        <w:gridCol w:w="1033"/>
        <w:gridCol w:w="866"/>
        <w:gridCol w:w="860"/>
        <w:gridCol w:w="860"/>
      </w:tblGrid>
      <w:tr>
        <w:tc>
          <w:tcPr>
            <w:tcW w:type="dxa" w:w="77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34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6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8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77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5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освоенных средств, направленных на обеспечение </w:t>
            </w:r>
            <w:r>
              <w:rPr>
                <w:rFonts w:ascii="Times New Roman" w:hAnsi="Times New Roman"/>
              </w:rPr>
              <w:t>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31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E6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E708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E808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EA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EF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8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8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0"/>
            <w:gridSpan w:val="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9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освоенных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9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9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</w:tbl>
    <w:p w14:paraId="1B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1C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1D09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2"/>
        <w:gridCol w:w="2632"/>
        <w:gridCol w:w="1197"/>
        <w:gridCol w:w="2367"/>
        <w:gridCol w:w="2033"/>
        <w:gridCol w:w="1049"/>
        <w:gridCol w:w="1134"/>
        <w:gridCol w:w="1134"/>
        <w:gridCol w:w="1043"/>
        <w:gridCol w:w="1120"/>
        <w:gridCol w:w="1133"/>
      </w:tblGrid>
      <w:tr>
        <w:tc>
          <w:tcPr>
            <w:tcW w:type="dxa" w:w="4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26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3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20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61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530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«Обеспечение эффективного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1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type="dxa" w:w="23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бюджетных средств, направленных на обеспечение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20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13 719,07</w:t>
            </w:r>
          </w:p>
        </w:tc>
        <w:tc>
          <w:tcPr>
            <w:tcW w:type="dxa" w:w="1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23 201,40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  <w:tc>
          <w:tcPr>
            <w:tcW w:type="dxa" w:w="1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16 759,54</w:t>
            </w:r>
          </w:p>
        </w:tc>
      </w:tr>
    </w:tbl>
    <w:p w14:paraId="41090000">
      <w:pPr>
        <w:pageBreakBefore w:val="1"/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5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807"/>
        <w:gridCol w:w="1417"/>
        <w:gridCol w:w="1134"/>
        <w:gridCol w:w="1276"/>
        <w:gridCol w:w="1134"/>
        <w:gridCol w:w="1134"/>
        <w:gridCol w:w="1131"/>
        <w:gridCol w:w="1875"/>
      </w:tblGrid>
      <w:tr>
        <w:tc>
          <w:tcPr>
            <w:tcW w:type="dxa" w:w="5807"/>
            <w:vMerge w:val="restart"/>
          </w:tcPr>
          <w:p w14:paraId="42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1417"/>
          </w:tcPr>
          <w:p w14:paraId="4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684"/>
            <w:gridSpan w:val="6"/>
          </w:tcPr>
          <w:p w14:paraId="44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807"/>
            <w:gridSpan w:val="1"/>
            <w:vMerge w:val="continue"/>
          </w:tcPr>
          <w:p/>
        </w:tc>
        <w:tc>
          <w:tcPr>
            <w:tcW w:type="dxa" w:w="1417"/>
            <w:vAlign w:val="center"/>
          </w:tcPr>
          <w:p w14:paraId="4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vAlign w:val="center"/>
          </w:tcPr>
          <w:p w14:paraId="4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vAlign w:val="center"/>
          </w:tcPr>
          <w:p w14:paraId="4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4"/>
            <w:vAlign w:val="center"/>
          </w:tcPr>
          <w:p w14:paraId="4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4"/>
          </w:tcPr>
          <w:p w14:paraId="4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1"/>
          </w:tcPr>
          <w:p w14:paraId="4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875"/>
          </w:tcPr>
          <w:p w14:paraId="4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807"/>
            <w:vAlign w:val="center"/>
          </w:tcPr>
          <w:p w14:paraId="4C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7"/>
            <w:vAlign w:val="center"/>
          </w:tcPr>
          <w:p w14:paraId="4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vAlign w:val="center"/>
          </w:tcPr>
          <w:p w14:paraId="4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vAlign w:val="center"/>
          </w:tcPr>
          <w:p w14:paraId="4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134"/>
            <w:vAlign w:val="center"/>
          </w:tcPr>
          <w:p w14:paraId="5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</w:tcPr>
          <w:p w14:paraId="5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1"/>
          </w:tcPr>
          <w:p w14:paraId="5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875"/>
          </w:tcPr>
          <w:p w14:paraId="5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342"/>
        </w:trPr>
        <w:tc>
          <w:tcPr>
            <w:tcW w:type="dxa" w:w="5807"/>
          </w:tcPr>
          <w:p w14:paraId="54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комплекса процессных мероприятий, в т. ч.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</w:tr>
      <w:tr>
        <w:tc>
          <w:tcPr>
            <w:tcW w:type="dxa" w:w="5807"/>
          </w:tcPr>
          <w:p w14:paraId="5C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64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807"/>
          </w:tcPr>
          <w:p w14:paraId="6C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23 201,40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16 759,54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106 999,11  </w:t>
            </w:r>
          </w:p>
        </w:tc>
      </w:tr>
      <w:tr>
        <w:tc>
          <w:tcPr>
            <w:tcW w:type="dxa" w:w="5807"/>
          </w:tcPr>
          <w:p w14:paraId="7409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1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13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8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9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</w:tbl>
    <w:p w14:paraId="7C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</w:p>
    <w:p w14:paraId="7D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План по реализации </w:t>
      </w:r>
      <w:r>
        <w:rPr>
          <w:rFonts w:ascii="Times New Roman" w:hAnsi="Times New Roman"/>
        </w:rPr>
        <w:t>комплекса процессных мероприятий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2025 году</w:t>
      </w:r>
    </w:p>
    <w:p w14:paraId="7E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1356"/>
        <w:gridCol w:w="5225"/>
        <w:gridCol w:w="3843"/>
        <w:gridCol w:w="2225"/>
        <w:gridCol w:w="2246"/>
      </w:tblGrid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80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Тип мероприятия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Дата наступления контрольной точки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 подтверждающего документа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1489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90000">
            <w:pPr>
              <w:widowControl w:val="0"/>
              <w:spacing w:after="0" w:line="240" w:lineRule="auto"/>
              <w:ind w:firstLine="22" w:lef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Контрольная точка 1.1. Утвержденная смета расходов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Смета </w:t>
            </w:r>
          </w:p>
        </w:tc>
      </w:tr>
      <w:tr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90000">
            <w:pPr>
              <w:widowControl w:val="0"/>
              <w:spacing w:after="0" w:line="240" w:lineRule="auto"/>
              <w:ind w:firstLine="22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Отчет об использовании денежных средств</w:t>
            </w:r>
          </w:p>
        </w:tc>
        <w:tc>
          <w:tcPr>
            <w:tcW w:type="dxa" w:w="3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9A09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9B090000">
      <w:pPr>
        <w:widowControl w:val="0"/>
        <w:spacing w:after="0" w:line="240" w:lineRule="auto"/>
        <w:ind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1905" w:orient="landscape" w:w="16837"/>
      <w:pgMar w:bottom="851" w:footer="720" w:gutter="0" w:header="720" w:left="1100" w:right="799" w:top="96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4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Информация об изменениях"/>
    <w:basedOn w:val="Style_12"/>
    <w:next w:val="Style_6"/>
    <w:link w:val="Style_11_ch"/>
    <w:pPr>
      <w:spacing w:before="180"/>
      <w:ind w:firstLine="0" w:left="360" w:right="360"/>
    </w:pPr>
    <w:rPr>
      <w:shd w:fill="EAEFED" w:val="clear"/>
    </w:rPr>
  </w:style>
  <w:style w:styleId="Style_11_ch" w:type="character">
    <w:name w:val="Информация об изменениях"/>
    <w:basedOn w:val="Style_12_ch"/>
    <w:link w:val="Style_11"/>
    <w:rPr>
      <w:shd w:fill="EAEFED" w:val="clear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6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Balloon Text"/>
    <w:basedOn w:val="Style_6"/>
    <w:link w:val="Style_15_ch"/>
    <w:pPr>
      <w:widowControl w:val="0"/>
      <w:spacing w:after="0" w:line="240" w:lineRule="auto"/>
      <w:ind w:firstLine="720" w:left="0"/>
      <w:jc w:val="both"/>
    </w:pPr>
    <w:rPr>
      <w:rFonts w:ascii="Segoe UI" w:hAnsi="Segoe UI"/>
      <w:sz w:val="18"/>
    </w:rPr>
  </w:style>
  <w:style w:styleId="Style_15_ch" w:type="character">
    <w:name w:val="Balloon Text"/>
    <w:basedOn w:val="Style_6_ch"/>
    <w:link w:val="Style_15"/>
    <w:rPr>
      <w:rFonts w:ascii="Segoe UI" w:hAnsi="Segoe UI"/>
      <w:sz w:val="18"/>
    </w:rPr>
  </w:style>
  <w:style w:styleId="Style_16" w:type="paragraph">
    <w:name w:val="page number"/>
    <w:basedOn w:val="Style_17"/>
    <w:link w:val="Style_16_ch"/>
  </w:style>
  <w:style w:styleId="Style_16_ch" w:type="character">
    <w:name w:val="page number"/>
    <w:basedOn w:val="Style_17_ch"/>
    <w:link w:val="Style_16"/>
  </w:style>
  <w:style w:styleId="Style_18" w:type="paragraph">
    <w:name w:val="ConsPlusTitle"/>
    <w:link w:val="Style_18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8_ch" w:type="character">
    <w:name w:val="ConsPlusTitle"/>
    <w:link w:val="Style_18"/>
    <w:rPr>
      <w:rFonts w:ascii="Calibri" w:hAnsi="Calibri"/>
      <w:b w:val="1"/>
    </w:rPr>
  </w:style>
  <w:style w:styleId="Style_19" w:type="paragraph">
    <w:name w:val="Информация об изменениях документа"/>
    <w:basedOn w:val="Style_20"/>
    <w:next w:val="Style_6"/>
    <w:link w:val="Style_19_ch"/>
    <w:rPr>
      <w:i w:val="1"/>
    </w:rPr>
  </w:style>
  <w:style w:styleId="Style_19_ch" w:type="character">
    <w:name w:val="Информация об изменениях документа"/>
    <w:basedOn w:val="Style_20_ch"/>
    <w:link w:val="Style_19"/>
    <w:rPr>
      <w:i w:val="1"/>
    </w:rPr>
  </w:style>
  <w:style w:styleId="Style_21" w:type="paragraph">
    <w:name w:val="Цветовое выделение для Текст"/>
    <w:link w:val="Style_21_ch"/>
  </w:style>
  <w:style w:styleId="Style_21_ch" w:type="character">
    <w:name w:val="Цветовое выделение для Текст"/>
    <w:link w:val="Style_21"/>
  </w:style>
  <w:style w:styleId="Style_1" w:type="paragraph">
    <w:name w:val="Нижний колонтитул1"/>
    <w:basedOn w:val="Style_6"/>
    <w:next w:val="Style_2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Нижний колонтитул1"/>
    <w:basedOn w:val="Style_6_ch"/>
    <w:link w:val="Style_1"/>
  </w:style>
  <w:style w:styleId="Style_23" w:type="paragraph">
    <w:name w:val="Таблицы (моноширинный)"/>
    <w:basedOn w:val="Style_6"/>
    <w:next w:val="Style_6"/>
    <w:link w:val="Style_23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23_ch" w:type="character">
    <w:name w:val="Таблицы (моноширинный)"/>
    <w:basedOn w:val="Style_6_ch"/>
    <w:link w:val="Style_23"/>
    <w:rPr>
      <w:rFonts w:ascii="Courier New" w:hAnsi="Courier New"/>
      <w:sz w:val="24"/>
    </w:rPr>
  </w:style>
  <w:style w:styleId="Style_24" w:type="paragraph">
    <w:name w:val="Прижатый влево"/>
    <w:basedOn w:val="Style_6"/>
    <w:next w:val="Style_6"/>
    <w:link w:val="Style_24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24_ch" w:type="character">
    <w:name w:val="Прижатый влево"/>
    <w:basedOn w:val="Style_6_ch"/>
    <w:link w:val="Style_24"/>
    <w:rPr>
      <w:rFonts w:ascii="Arial" w:hAnsi="Arial"/>
      <w:sz w:val="24"/>
    </w:rPr>
  </w:style>
  <w:style w:styleId="Style_25" w:type="paragraph">
    <w:name w:val="Текст (справка)"/>
    <w:basedOn w:val="Style_6"/>
    <w:next w:val="Style_6"/>
    <w:link w:val="Style_25_ch"/>
    <w:pPr>
      <w:widowControl w:val="0"/>
      <w:spacing w:after="0" w:line="240" w:lineRule="auto"/>
      <w:ind w:firstLine="0" w:left="170" w:right="170"/>
    </w:pPr>
    <w:rPr>
      <w:rFonts w:ascii="Arial" w:hAnsi="Arial"/>
      <w:sz w:val="24"/>
    </w:rPr>
  </w:style>
  <w:style w:styleId="Style_25_ch" w:type="character">
    <w:name w:val="Текст (справка)"/>
    <w:basedOn w:val="Style_6_ch"/>
    <w:link w:val="Style_25"/>
    <w:rPr>
      <w:rFonts w:ascii="Arial" w:hAnsi="Arial"/>
      <w:sz w:val="24"/>
    </w:rPr>
  </w:style>
  <w:style w:styleId="Style_26" w:type="paragraph">
    <w:name w:val="toc 3"/>
    <w:next w:val="Style_6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heading 5"/>
    <w:next w:val="Style_6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heading 1"/>
    <w:basedOn w:val="Style_6"/>
    <w:next w:val="Style_6"/>
    <w:link w:val="Style_28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8_ch" w:type="character">
    <w:name w:val="heading 1"/>
    <w:basedOn w:val="Style_6_ch"/>
    <w:link w:val="Style_28"/>
    <w:rPr>
      <w:rFonts w:ascii="Arial" w:hAnsi="Arial"/>
      <w:b w:val="1"/>
      <w:color w:val="26282F"/>
      <w:sz w:val="24"/>
    </w:rPr>
  </w:style>
  <w:style w:styleId="Style_29" w:type="paragraph">
    <w:name w:val="annotation subject"/>
    <w:basedOn w:val="Style_30"/>
    <w:next w:val="Style_30"/>
    <w:link w:val="Style_29_ch"/>
    <w:rPr>
      <w:b w:val="1"/>
    </w:rPr>
  </w:style>
  <w:style w:styleId="Style_29_ch" w:type="character">
    <w:name w:val="annotation subject"/>
    <w:basedOn w:val="Style_30_ch"/>
    <w:link w:val="Style_29"/>
    <w:rPr>
      <w:b w:val="1"/>
    </w:rPr>
  </w:style>
  <w:style w:styleId="Style_31" w:type="paragraph">
    <w:name w:val="Подзаголовок для информации об изменениях"/>
    <w:basedOn w:val="Style_12"/>
    <w:next w:val="Style_6"/>
    <w:link w:val="Style_31_ch"/>
    <w:rPr>
      <w:b w:val="1"/>
    </w:rPr>
  </w:style>
  <w:style w:styleId="Style_31_ch" w:type="character">
    <w:name w:val="Подзаголовок для информации об изменениях"/>
    <w:basedOn w:val="Style_12_ch"/>
    <w:link w:val="Style_31"/>
    <w:rPr>
      <w:b w:val="1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next w:val="Style_6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20" w:type="paragraph">
    <w:name w:val="Комментарий"/>
    <w:basedOn w:val="Style_25"/>
    <w:next w:val="Style_6"/>
    <w:link w:val="Style_20_ch"/>
    <w:pPr>
      <w:spacing w:before="75"/>
      <w:ind w:right="0"/>
      <w:jc w:val="both"/>
    </w:pPr>
    <w:rPr>
      <w:color w:val="353842"/>
      <w:shd w:fill="F0F0F0" w:val="clear"/>
    </w:rPr>
  </w:style>
  <w:style w:styleId="Style_20_ch" w:type="character">
    <w:name w:val="Комментарий"/>
    <w:basedOn w:val="Style_25_ch"/>
    <w:link w:val="Style_20"/>
    <w:rPr>
      <w:color w:val="353842"/>
      <w:shd w:fill="F0F0F0" w:val="clear"/>
    </w:rPr>
  </w:style>
  <w:style w:styleId="Style_36" w:type="paragraph">
    <w:name w:val="Нормальный (таблица)"/>
    <w:basedOn w:val="Style_6"/>
    <w:next w:val="Style_6"/>
    <w:link w:val="Style_36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6_ch" w:type="character">
    <w:name w:val="Нормальный (таблица)"/>
    <w:basedOn w:val="Style_6_ch"/>
    <w:link w:val="Style_36"/>
    <w:rPr>
      <w:rFonts w:ascii="Arial" w:hAnsi="Arial"/>
      <w:sz w:val="24"/>
    </w:rPr>
  </w:style>
  <w:style w:styleId="Style_37" w:type="paragraph">
    <w:name w:val="toc 9"/>
    <w:next w:val="Style_6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Гипертекстовая ссылка"/>
    <w:basedOn w:val="Style_39"/>
    <w:link w:val="Style_38_ch"/>
    <w:rPr>
      <w:b w:val="0"/>
      <w:color w:val="106BBE"/>
    </w:rPr>
  </w:style>
  <w:style w:styleId="Style_38_ch" w:type="character">
    <w:name w:val="Гипертекстовая ссылка"/>
    <w:basedOn w:val="Style_39_ch"/>
    <w:link w:val="Style_38"/>
    <w:rPr>
      <w:b w:val="0"/>
      <w:color w:val="106BBE"/>
    </w:rPr>
  </w:style>
  <w:style w:styleId="Style_30" w:type="paragraph">
    <w:name w:val="annotation text"/>
    <w:basedOn w:val="Style_6"/>
    <w:link w:val="Style_30_ch"/>
    <w:pPr>
      <w:spacing w:line="240" w:lineRule="auto"/>
      <w:ind/>
    </w:pPr>
    <w:rPr>
      <w:sz w:val="20"/>
    </w:rPr>
  </w:style>
  <w:style w:styleId="Style_30_ch" w:type="character">
    <w:name w:val="annotation text"/>
    <w:basedOn w:val="Style_6_ch"/>
    <w:link w:val="Style_30"/>
    <w:rPr>
      <w:sz w:val="20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40" w:type="paragraph">
    <w:name w:val="toc 8"/>
    <w:next w:val="Style_6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12" w:type="paragraph">
    <w:name w:val="Текст информации об изменениях"/>
    <w:basedOn w:val="Style_6"/>
    <w:next w:val="Style_6"/>
    <w:link w:val="Style_12_ch"/>
    <w:pPr>
      <w:widowControl w:val="0"/>
      <w:spacing w:after="0" w:line="240" w:lineRule="auto"/>
      <w:ind w:firstLine="720" w:left="0"/>
      <w:jc w:val="both"/>
    </w:pPr>
    <w:rPr>
      <w:rFonts w:ascii="Arial" w:hAnsi="Arial"/>
      <w:color w:val="353842"/>
      <w:sz w:val="18"/>
    </w:rPr>
  </w:style>
  <w:style w:styleId="Style_12_ch" w:type="character">
    <w:name w:val="Текст информации об изменениях"/>
    <w:basedOn w:val="Style_6_ch"/>
    <w:link w:val="Style_12"/>
    <w:rPr>
      <w:rFonts w:ascii="Arial" w:hAnsi="Arial"/>
      <w:color w:val="353842"/>
      <w:sz w:val="18"/>
    </w:rPr>
  </w:style>
  <w:style w:styleId="Style_22" w:type="paragraph">
    <w:name w:val="footer"/>
    <w:basedOn w:val="Style_6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2_ch" w:type="character">
    <w:name w:val="footer"/>
    <w:basedOn w:val="Style_6_ch"/>
    <w:link w:val="Style_22"/>
  </w:style>
  <w:style w:styleId="Style_41" w:type="paragraph">
    <w:name w:val="annotation reference"/>
    <w:basedOn w:val="Style_17"/>
    <w:link w:val="Style_41_ch"/>
    <w:rPr>
      <w:sz w:val="16"/>
    </w:rPr>
  </w:style>
  <w:style w:styleId="Style_41_ch" w:type="character">
    <w:name w:val="annotation reference"/>
    <w:basedOn w:val="Style_17_ch"/>
    <w:link w:val="Style_41"/>
    <w:rPr>
      <w:sz w:val="16"/>
    </w:rPr>
  </w:style>
  <w:style w:styleId="Style_42" w:type="paragraph">
    <w:name w:val="toc 5"/>
    <w:next w:val="Style_6"/>
    <w:link w:val="Style_4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List Paragraph"/>
    <w:basedOn w:val="Style_6"/>
    <w:link w:val="Style_43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43_ch" w:type="character">
    <w:name w:val="List Paragraph"/>
    <w:basedOn w:val="Style_6_ch"/>
    <w:link w:val="Style_43"/>
    <w:rPr>
      <w:rFonts w:ascii="Arial" w:hAnsi="Arial"/>
      <w:sz w:val="24"/>
    </w:rPr>
  </w:style>
  <w:style w:styleId="Style_44" w:type="paragraph">
    <w:name w:val="Emphasis"/>
    <w:basedOn w:val="Style_17"/>
    <w:link w:val="Style_44_ch"/>
    <w:rPr>
      <w:i w:val="1"/>
    </w:rPr>
  </w:style>
  <w:style w:styleId="Style_44_ch" w:type="character">
    <w:name w:val="Emphasis"/>
    <w:basedOn w:val="Style_17_ch"/>
    <w:link w:val="Style_44"/>
    <w:rPr>
      <w:i w:val="1"/>
    </w:rPr>
  </w:style>
  <w:style w:styleId="Style_45" w:type="paragraph">
    <w:name w:val="Subtitle"/>
    <w:next w:val="Style_6"/>
    <w:link w:val="Style_4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5_ch" w:type="character">
    <w:name w:val="Subtitle"/>
    <w:link w:val="Style_45"/>
    <w:rPr>
      <w:rFonts w:ascii="XO Thames" w:hAnsi="XO Thames"/>
      <w:i w:val="1"/>
      <w:sz w:val="24"/>
    </w:rPr>
  </w:style>
  <w:style w:styleId="Style_46" w:type="paragraph">
    <w:name w:val="Title"/>
    <w:next w:val="Style_6"/>
    <w:link w:val="Style_4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sz w:val="40"/>
    </w:rPr>
  </w:style>
  <w:style w:styleId="Style_47" w:type="paragraph">
    <w:name w:val="heading 4"/>
    <w:next w:val="Style_6"/>
    <w:link w:val="Style_4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link w:val="Style_47"/>
    <w:rPr>
      <w:rFonts w:ascii="XO Thames" w:hAnsi="XO Thames"/>
      <w:b w:val="1"/>
      <w:sz w:val="24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48" w:type="paragraph">
    <w:name w:val="heading 2"/>
    <w:next w:val="Style_6"/>
    <w:link w:val="Style_4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8_ch" w:type="character">
    <w:name w:val="heading 2"/>
    <w:link w:val="Style_48"/>
    <w:rPr>
      <w:rFonts w:ascii="XO Thames" w:hAnsi="XO Thames"/>
      <w:b w:val="1"/>
      <w:sz w:val="28"/>
    </w:rPr>
  </w:style>
  <w:style w:styleId="Style_49" w:type="paragraph">
    <w:name w:val="Верхний колонтитул1"/>
    <w:basedOn w:val="Style_6"/>
    <w:next w:val="Style_2"/>
    <w:link w:val="Style_4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9_ch" w:type="character">
    <w:name w:val="Верхний колонтитул1"/>
    <w:basedOn w:val="Style_6_ch"/>
    <w:link w:val="Style_49"/>
  </w:style>
  <w:style w:styleId="Style_39" w:type="paragraph">
    <w:name w:val="Цветовое выделение"/>
    <w:link w:val="Style_39_ch"/>
    <w:rPr>
      <w:b w:val="1"/>
      <w:color w:val="26282F"/>
    </w:rPr>
  </w:style>
  <w:style w:styleId="Style_39_ch" w:type="character">
    <w:name w:val="Цветовое выделение"/>
    <w:link w:val="Style_39"/>
    <w:rPr>
      <w:b w:val="1"/>
      <w:color w:val="26282F"/>
    </w:rPr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6_ch"/>
    <w:link w:val="Style_2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0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2025-04-23T04:24:00Z</dcterms:modified>
</cp:coreProperties>
</file>