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1057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4000000">
      <w:pPr>
        <w:widowControl w:val="0"/>
        <w:spacing w:after="0" w:line="240" w:lineRule="auto"/>
        <w:ind w:firstLine="11057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5000000">
      <w:pPr>
        <w:widowControl w:val="0"/>
        <w:spacing w:after="0" w:line="240" w:lineRule="auto"/>
        <w:ind w:firstLine="11057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widowControl w:val="0"/>
        <w:spacing w:after="0" w:line="240" w:lineRule="auto"/>
        <w:ind w:firstLine="11057" w:left="0"/>
        <w:rPr>
          <w:rFonts w:ascii="Times New Roman" w:hAnsi="Times New Roman"/>
        </w:rPr>
      </w:pPr>
      <w:r>
        <w:rPr>
          <w:rFonts w:ascii="Times New Roman" w:hAnsi="Times New Roman"/>
        </w:rPr>
        <w:t>от 22.04.2025 № 3645-П</w:t>
      </w:r>
    </w:p>
    <w:p w14:paraId="07000000">
      <w:pPr>
        <w:widowControl w:val="0"/>
        <w:spacing w:after="0" w:line="240" w:lineRule="auto"/>
        <w:ind w:firstLine="11057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14:paraId="08000000">
      <w:pPr>
        <w:widowControl w:val="0"/>
        <w:spacing w:after="0" w:line="240" w:lineRule="auto"/>
        <w:ind w:firstLine="11057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9000000">
      <w:pPr>
        <w:widowControl w:val="0"/>
        <w:spacing w:after="0" w:line="240" w:lineRule="auto"/>
        <w:ind w:firstLine="11057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 </w:t>
      </w:r>
    </w:p>
    <w:p w14:paraId="0A000000">
      <w:pPr>
        <w:widowControl w:val="0"/>
        <w:spacing w:after="0" w:line="240" w:lineRule="auto"/>
        <w:ind w:firstLine="11057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B00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  <w:bookmarkStart w:id="1" w:name="_GoBack"/>
      <w:bookmarkEnd w:id="1"/>
    </w:p>
    <w:tbl>
      <w:tblPr>
        <w:tblStyle w:val="Style_2"/>
        <w:tblW w:type="auto" w:w="0"/>
        <w:tblInd w:type="dxa" w:w="-709"/>
        <w:tblLayout w:type="fixed"/>
      </w:tblPr>
      <w:tblGrid>
        <w:gridCol w:w="821"/>
        <w:gridCol w:w="2723"/>
        <w:gridCol w:w="1701"/>
        <w:gridCol w:w="1559"/>
        <w:gridCol w:w="1275"/>
        <w:gridCol w:w="1336"/>
        <w:gridCol w:w="1231"/>
        <w:gridCol w:w="1208"/>
        <w:gridCol w:w="1388"/>
        <w:gridCol w:w="1276"/>
        <w:gridCol w:w="1500"/>
        <w:gridCol w:w="9"/>
      </w:tblGrid>
      <w:tr>
        <w:trPr>
          <w:trHeight w:hRule="atLeast" w:val="288"/>
        </w:trPr>
        <w:tc>
          <w:tcPr>
            <w:tcW w:type="dxa" w:w="16027"/>
            <w:gridSpan w:val="1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Финансовое обеспечение реализации муниципальной программы за счет всех источников финансирования</w:t>
            </w:r>
          </w:p>
        </w:tc>
      </w:tr>
      <w:tr>
        <w:trPr>
          <w:trHeight w:hRule="atLeast" w:val="288"/>
        </w:trPr>
        <w:tc>
          <w:tcPr>
            <w:tcW w:type="dxa" w:w="16027"/>
            <w:gridSpan w:val="1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rPr>
          <w:trHeight w:hRule="atLeast" w:val="373"/>
        </w:trPr>
        <w:tc>
          <w:tcPr>
            <w:tcW w:type="dxa" w:w="8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type="dxa" w:w="27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Ответственный исполнитель, исполнители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Источники финансирования</w:t>
            </w:r>
          </w:p>
        </w:tc>
        <w:tc>
          <w:tcPr>
            <w:tcW w:type="dxa" w:w="9214"/>
            <w:gridSpan w:val="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Расходы (тыс. руб.), годы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2029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2030</w:t>
            </w:r>
          </w:p>
        </w:tc>
        <w:tc>
          <w:tcPr>
            <w:tcW w:type="dxa" w:w="150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</w:t>
            </w:r>
          </w:p>
        </w:tc>
        <w:tc>
          <w:tcPr>
            <w:tcW w:type="dxa" w:w="150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72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7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«Развитие физической культуры и спорта в городе Магнитогорске»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всего, в том числе: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588 959,43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499 624,02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522 238,66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3 106 285,19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572 518,86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462 631,40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483 255,78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505 870,42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3 007 858,76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588 959,43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499 624,02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522 238,66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3 106 285,19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572 518,86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462 631,40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483 255,78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505 870,42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3 007 858,76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15206"/>
            <w:gridSpan w:val="1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Направление 1. «Обеспечение условий развития физической культуры и спорта в городе Магнитогорске»</w:t>
            </w:r>
          </w:p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Комплекс процессных мероприятий «Организация </w:t>
            </w:r>
            <w:r>
              <w:rPr>
                <w:rFonts w:ascii="Times New Roman" w:hAnsi="Times New Roman"/>
                <w:color w:val="000000"/>
              </w:rPr>
              <w:t>физкультурно-массовой работы с населением»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color w:val="000000"/>
              </w:rPr>
              <w:t>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161 461,55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136 297,39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145 940,28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168 554,92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921 350,12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62 517,40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151 005,82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125 913,99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135 556,88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158 171,52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858 832,72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(за исключением тестирования выполнения нормативов комплекса ГТО)»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1 495,64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1 445,58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7 178,29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1 495,64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1 445,58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7 178,29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0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тестирования выполнения нормативов испытаний (тестов) комплекса ГТО»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5 510,93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32 929,58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5 510,93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5 312,80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5 597,68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32 929,58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«Организация и проведение официальных физкультурных (физкультурно-оздоровительных)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8 735,27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53 882,81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8 735,27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8 453,77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9 413,33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53 882,81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2 624,21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16 216,17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2 624,21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2 536,27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2 839,81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16 216,17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участия спортивных сборных команд в официальных спортивных мероприятиях»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24 638,56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145 157,49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24 638,56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24 091,71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24 111,84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145 157,49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доступа к объектам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73 979,92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435 123,62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73 979,92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72 228,74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435 123,62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участия в официальных физкультурных (физкультурно-оздоровительных) мероприятиях»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321,49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1 909,54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321,49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309,56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322,97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1 909,54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«Организация и проведение спортивно-</w:t>
            </w:r>
            <w:r>
              <w:rPr>
                <w:rFonts w:ascii="Times New Roman" w:hAnsi="Times New Roman"/>
                <w:color w:val="000000"/>
              </w:rPr>
              <w:t>оздоровительной работы по развитию физической культуры и спорта среди различных групп населения»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color w:val="000000"/>
              </w:rPr>
              <w:t>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11 223,07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62 883,97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11 223,07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10 972,12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9 905,55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62 883,97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 по организации физкультурно-оздоровительной и спортивно-массовой работы с детьми и молодежью в возрасте от 6 до 29 лет»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1 083,07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6 097,64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1 035,60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902,00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5 812,80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47,47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284,84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с населением старшего возраста»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649,84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569,68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3 658,58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621,36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541,20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3 487,68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28,48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170,90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 спортивного инвентаря и оборудования для спортивных школ и  физкультурно-спортивных организаций»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7 973,66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8 075,06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48 146,15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7 569,91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7 671,30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45 723,64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403,75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2 422,52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 «Оплата услуг специалистов по организации физкультурно-оздоровительной и </w:t>
            </w:r>
            <w:r>
              <w:rPr>
                <w:rFonts w:ascii="Times New Roman" w:hAnsi="Times New Roman"/>
                <w:color w:val="000000"/>
              </w:rPr>
              <w:t>спортивно-массовой работы с населением среднего возраста»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1 219,53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1 162,56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56,97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услуг специалистов по организации физкультурно-оздоровительной и спортивно-массовой работы  с лицами с ограниченными возможностями здоровья»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216,62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189,90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1 219,53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207,12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180,40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1 162,56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56,97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105,26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631,58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5,26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31,58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757,15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850,63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4 823,35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714,62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808,10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4 568,16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2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42,53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255,19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4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102,25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17,04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102,25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2 741,54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6 357,84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2 741,54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904,10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6 357,84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«Оказание услуг (выполнение работ) по подготовке и содержанию тюбинговых и лыжных трасс (склонов)»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2 995,00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599,00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2 995,00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1.1.19.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«Получение спортивных лицензий для участия в спортивных соревнованиях»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6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48,00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240,00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мероприятий в соответствии с Реестром наказов избирателей депутатам Магнитогорского 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3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«Проведение капитальных, текущих, аварийных ремонтов, разработка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6 530,04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18 480,60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38 214,67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6 530,04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4 401,34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18 480,60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38 214,67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90,61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1 765,11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90,61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418,63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1 765,11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«Приобретение, изготовление и монтаж основных средств и предметов длительного пользования, материальных запасов, </w:t>
            </w:r>
            <w:r>
              <w:rPr>
                <w:rFonts w:ascii="Times New Roman" w:hAnsi="Times New Roman"/>
                <w:color w:val="000000"/>
              </w:rPr>
              <w:t>инвентаря и выполнение работ (Парк у Вечного огня)»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9 264,30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33 503,49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9 264,30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8 079,73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33 503,49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2 218,80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554,70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2 218,80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5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555,21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127,59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555,21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«Приобретение, изготовление и монтаж основных средств и предметов длительного пользования, материальных запасов, инвентаря и выполнение работ (Парк Ветеранов Магнитки»)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4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2 161,45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1 298,53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2 161,45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1 298,53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1 754,18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0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«Посадка, обрезка, валка, корчевание деревьев и кустарников»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color w:val="000000"/>
              </w:rPr>
              <w:t>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5 164,00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1 291,00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5 164,00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1.1.28.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«Техническое подключение (присоединение) к сетям водоснабжения, канализации, электрическим и тепловым сетям; техническое обследование зданий и конструкций, измерение и оценка состояния сетей, приборов и оборудования различного назначения, поверка счетчиков»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153,40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«Реализация дополнительных образовательных программ спортивной подготовки»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370 868,16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293 681,65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1 883 202,37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35 909,06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364 883,32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287 696,80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1 847 293,31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олимпийским видам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237 896,90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225 411,01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1 365 938,96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237 896,90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225 411,01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225 657,76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1 365 938,96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неолимпийским видам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51 160,60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46 367,00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282 489,66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51 160,60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46 367,00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46 240,51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282 489,66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52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лиц с интеллектуальными нарушениями»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5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780,17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4 582,80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2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780,17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760,53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4 582,80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4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4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глухих.»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2 329,33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13 696,68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2 329,33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2 273,47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13 696,68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образовательных программ спортивной подготовки по адаптивным видам спорта. Спорт слепых.»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2 305,94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13 612,42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2 305,94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2 261,29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13 612,42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«Организация и проведение официальных спортивных мероприятий»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654,06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3 491,81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654,06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567,55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3 491,81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6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«Поощрение денежными выплатами за призовые места на Всероссийских и международных соревнованиях»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345,00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3 220,00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345,00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575,00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3 220,00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15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«Оплата налогов»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8 530,63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8 410,37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50 101,44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8 530,63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8 410,37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8 290,11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50 101,44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9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 «Проведение капитальных, текущих, аварийных ремонтов, разработку проектно-сметной документации, проведение экспертизы </w:t>
            </w:r>
            <w:r>
              <w:rPr>
                <w:rFonts w:ascii="Times New Roman" w:hAnsi="Times New Roman"/>
                <w:color w:val="000000"/>
              </w:rPr>
              <w:t>проектно-сметной документации для проведения ремонтных работ, изыскательные работы, работы и услуги по содержанию имущества»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6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29 021,24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60 875,19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2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39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5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6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29 021,24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7 963,49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60 875,19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3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«Приобретение материальных запасов, на приобретение (изготовление) объектов, относящихся к основным средствам»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19 385,90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31 455,00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19 385,90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3 017,28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31 455,00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«Проведение специальной оценки условий труда»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43,20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7,20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43,20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1.2.12.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«Профессиональная гигиеническая подготовка и аттестация должностных лиц и работников организаций»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91,85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92,77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558,62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91,85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92,77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93,50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558,62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«Оплата за технологическое подключение </w:t>
            </w:r>
            <w:r>
              <w:rPr>
                <w:rFonts w:ascii="Times New Roman" w:hAnsi="Times New Roman"/>
                <w:color w:val="000000"/>
              </w:rPr>
              <w:t>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</w:t>
            </w:r>
            <w:r>
              <w:rPr>
                <w:rFonts w:ascii="Times New Roman" w:hAnsi="Times New Roman"/>
                <w:color w:val="000000"/>
              </w:rPr>
              <w:t>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18,72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51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9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5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3,12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18,72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76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«Оплата обучения курсов повышения квалификации работников учреждения»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86,15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86,15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127,28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722,52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«На оказание услуг (выполнение работ) по сертификации спортивных объектов»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7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416,52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2 986,52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7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416,52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514,00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2 986,52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64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1.2.16.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Мероприятие «Реализация мероприятий в соответствии с Реестром наказов избирателей депутатам Магнитогорского </w:t>
            </w:r>
            <w:r>
              <w:rPr>
                <w:rFonts w:ascii="Times New Roman" w:hAnsi="Times New Roman"/>
                <w:color w:val="000000"/>
              </w:rPr>
              <w:t>городского Собрания депутатов»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1.2.17.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0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42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1.2.18.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оборудования"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6 311,06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37 866,34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35 909,06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70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326,21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1 957,28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975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1.2.19.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«На выполнение мероприятий по обеспечению антитеррори</w:t>
            </w:r>
            <w:r>
              <w:rPr>
                <w:rFonts w:ascii="Times New Roman" w:hAnsi="Times New Roman"/>
                <w:color w:val="000000"/>
              </w:rPr>
              <w:t>стической защищенности объектов»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4 135,52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4 135,52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4 135,52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4 135,52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1.2.20.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«Мероприятия  по обеспечению охранной и пожарной безопасности (включая установку, монтаж, ремонт систем видеонаблюдения, охранной, пожарной сигнализации, разработку проектно-сметной документации, проведение государственной экспертизы</w:t>
            </w:r>
            <w:r>
              <w:rPr>
                <w:rFonts w:ascii="Times New Roman" w:hAnsi="Times New Roman"/>
                <w:color w:val="000000"/>
              </w:rPr>
              <w:t xml:space="preserve"> проектно-сметной документации)»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7 076,98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7 076,98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7 076,98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7 076,98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8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8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1.3.1.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«Реализация дополнительных общеразвивающих программ»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21 116,26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21 116,26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«Сопровождение деятельности учреждений»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Управление по физической культуре и спорту администрации </w:t>
            </w:r>
            <w:r>
              <w:rPr>
                <w:rFonts w:ascii="Times New Roman" w:hAnsi="Times New Roman"/>
                <w:color w:val="000000"/>
              </w:rPr>
              <w:t>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>
              <w:rPr>
                <w:rFonts w:ascii="Times New Roman" w:hAnsi="Times New Roman"/>
                <w:color w:val="000000"/>
              </w:rPr>
              <w:t> 826,00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</w:t>
            </w:r>
            <w:r>
              <w:rPr>
                <w:rFonts w:ascii="Times New Roman" w:hAnsi="Times New Roman"/>
                <w:color w:val="000000"/>
              </w:rPr>
              <w:t> 617,33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>
              <w:rPr>
                <w:rFonts w:ascii="Times New Roman" w:hAnsi="Times New Roman"/>
                <w:color w:val="000000"/>
              </w:rPr>
              <w:t> 826,00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</w:t>
            </w:r>
            <w:r>
              <w:rPr>
                <w:rFonts w:ascii="Times New Roman" w:hAnsi="Times New Roman"/>
                <w:color w:val="000000"/>
              </w:rPr>
              <w:t> 617,33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1.4.1.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>
              <w:rPr>
                <w:rFonts w:ascii="Times New Roman" w:hAnsi="Times New Roman"/>
                <w:color w:val="000000"/>
              </w:rPr>
              <w:t> 826,00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</w:t>
            </w:r>
            <w:r>
              <w:rPr>
                <w:rFonts w:ascii="Times New Roman" w:hAnsi="Times New Roman"/>
                <w:color w:val="000000"/>
              </w:rPr>
              <w:t> 617,33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>
              <w:rPr>
                <w:rFonts w:ascii="Times New Roman" w:hAnsi="Times New Roman"/>
                <w:color w:val="000000"/>
              </w:rPr>
              <w:t> 826,00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</w:t>
            </w:r>
            <w:r>
              <w:rPr>
                <w:rFonts w:ascii="Times New Roman" w:hAnsi="Times New Roman"/>
                <w:color w:val="000000"/>
              </w:rPr>
              <w:t> 617,33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106 999,11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106 999,11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1.5.1.</w:t>
            </w:r>
          </w:p>
        </w:tc>
        <w:tc>
          <w:tcPr>
            <w:tcW w:type="dxa" w:w="2723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  <w:tc>
          <w:tcPr>
            <w:tcW w:type="dxa" w:w="1701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9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106 999,11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106 999,11  </w:t>
            </w:r>
          </w:p>
        </w:tc>
        <w:tc>
          <w:tcPr>
            <w:tcW w:type="dxa" w:w="9"/>
          </w:tcPr>
          <w:p/>
        </w:tc>
      </w:tr>
      <w:tr>
        <w:trPr>
          <w:trHeight w:hRule="atLeast" w:val="288"/>
        </w:trPr>
        <w:tc>
          <w:tcPr>
            <w:tcW w:type="dxa" w:w="82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23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01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9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источники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3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0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8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"/>
          </w:tcPr>
          <w:p/>
        </w:tc>
      </w:tr>
    </w:tbl>
    <w:p w14:paraId="E9090000"/>
    <w:sectPr>
      <w:headerReference r:id="rId1" w:type="default"/>
      <w:pgSz w:h="11906" w:orient="landscape" w:w="16838"/>
      <w:pgMar w:bottom="709" w:footer="709" w:gutter="0" w:header="709" w:left="1134" w:right="539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xl82"/>
    <w:basedOn w:val="Style_3"/>
    <w:link w:val="Style_5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5_ch" w:type="character">
    <w:name w:val="xl82"/>
    <w:basedOn w:val="Style_3_ch"/>
    <w:link w:val="Style_5"/>
    <w:rPr>
      <w:rFonts w:ascii="Times New Roman" w:hAnsi="Times New Roman"/>
      <w:color w:val="000000"/>
      <w:sz w:val="24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xl70"/>
    <w:basedOn w:val="Style_3"/>
    <w:link w:val="Style_1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0_ch" w:type="character">
    <w:name w:val="xl70"/>
    <w:basedOn w:val="Style_3_ch"/>
    <w:link w:val="Style_10"/>
    <w:rPr>
      <w:rFonts w:ascii="Times New Roman" w:hAnsi="Times New Roman"/>
      <w:color w:val="000000"/>
      <w:sz w:val="24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xl76"/>
    <w:basedOn w:val="Style_3"/>
    <w:link w:val="Style_1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3_ch" w:type="character">
    <w:name w:val="xl76"/>
    <w:basedOn w:val="Style_3_ch"/>
    <w:link w:val="Style_13"/>
    <w:rPr>
      <w:rFonts w:ascii="Times New Roman" w:hAnsi="Times New Roman"/>
      <w:color w:val="000000"/>
      <w:sz w:val="24"/>
    </w:rPr>
  </w:style>
  <w:style w:styleId="Style_14" w:type="paragraph">
    <w:name w:val="xl74"/>
    <w:basedOn w:val="Style_3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4_ch" w:type="character">
    <w:name w:val="xl74"/>
    <w:basedOn w:val="Style_3_ch"/>
    <w:link w:val="Style_14"/>
    <w:rPr>
      <w:rFonts w:ascii="Times New Roman" w:hAnsi="Times New Roman"/>
      <w:color w:val="000000"/>
      <w:sz w:val="24"/>
    </w:rPr>
  </w:style>
  <w:style w:styleId="Style_15" w:type="paragraph">
    <w:name w:val="xl63"/>
    <w:basedOn w:val="Style_3"/>
    <w:link w:val="Style_1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5_ch" w:type="character">
    <w:name w:val="xl63"/>
    <w:basedOn w:val="Style_3_ch"/>
    <w:link w:val="Style_15"/>
    <w:rPr>
      <w:rFonts w:ascii="Times New Roman" w:hAnsi="Times New Roman"/>
      <w:sz w:val="24"/>
    </w:rPr>
  </w:style>
  <w:style w:styleId="Style_16" w:type="paragraph">
    <w:name w:val="xl69"/>
    <w:basedOn w:val="Style_3"/>
    <w:link w:val="Style_1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6_ch" w:type="character">
    <w:name w:val="xl69"/>
    <w:basedOn w:val="Style_3_ch"/>
    <w:link w:val="Style_16"/>
    <w:rPr>
      <w:rFonts w:ascii="Times New Roman" w:hAnsi="Times New Roman"/>
      <w:sz w:val="24"/>
    </w:rPr>
  </w:style>
  <w:style w:styleId="Style_17" w:type="paragraph">
    <w:name w:val="xl79"/>
    <w:basedOn w:val="Style_3"/>
    <w:link w:val="Style_1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7_ch" w:type="character">
    <w:name w:val="xl79"/>
    <w:basedOn w:val="Style_3_ch"/>
    <w:link w:val="Style_17"/>
    <w:rPr>
      <w:rFonts w:ascii="Times New Roman" w:hAnsi="Times New Roman"/>
      <w:sz w:val="24"/>
    </w:rPr>
  </w:style>
  <w:style w:styleId="Style_18" w:type="paragraph">
    <w:name w:val="xl71"/>
    <w:basedOn w:val="Style_3"/>
    <w:link w:val="Style_18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18_ch" w:type="character">
    <w:name w:val="xl71"/>
    <w:basedOn w:val="Style_3_ch"/>
    <w:link w:val="Style_18"/>
    <w:rPr>
      <w:rFonts w:ascii="Times New Roman" w:hAnsi="Times New Roman"/>
      <w:color w:val="000000"/>
      <w:sz w:val="24"/>
    </w:rPr>
  </w:style>
  <w:style w:styleId="Style_19" w:type="paragraph">
    <w:name w:val="xl75"/>
    <w:basedOn w:val="Style_3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9_ch" w:type="character">
    <w:name w:val="xl75"/>
    <w:basedOn w:val="Style_3_ch"/>
    <w:link w:val="Style_19"/>
    <w:rPr>
      <w:rFonts w:ascii="Times New Roman" w:hAnsi="Times New Roman"/>
      <w:color w:val="000000"/>
      <w:sz w:val="24"/>
    </w:rPr>
  </w:style>
  <w:style w:styleId="Style_20" w:type="paragraph">
    <w:name w:val="xl83"/>
    <w:basedOn w:val="Style_3"/>
    <w:link w:val="Style_2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0_ch" w:type="character">
    <w:name w:val="xl83"/>
    <w:basedOn w:val="Style_3_ch"/>
    <w:link w:val="Style_20"/>
    <w:rPr>
      <w:rFonts w:ascii="Times New Roman" w:hAnsi="Times New Roman"/>
      <w:sz w:val="24"/>
    </w:rPr>
  </w:style>
  <w:style w:styleId="Style_21" w:type="paragraph">
    <w:name w:val="xl68"/>
    <w:basedOn w:val="Style_3"/>
    <w:link w:val="Style_2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1_ch" w:type="character">
    <w:name w:val="xl68"/>
    <w:basedOn w:val="Style_3_ch"/>
    <w:link w:val="Style_21"/>
    <w:rPr>
      <w:rFonts w:ascii="Times New Roman" w:hAnsi="Times New Roman"/>
      <w:sz w:val="24"/>
    </w:rPr>
  </w:style>
  <w:style w:styleId="Style_22" w:type="paragraph">
    <w:name w:val="msonormal"/>
    <w:basedOn w:val="Style_3"/>
    <w:link w:val="Style_2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2_ch" w:type="character">
    <w:name w:val="msonormal"/>
    <w:basedOn w:val="Style_3_ch"/>
    <w:link w:val="Style_22"/>
    <w:rPr>
      <w:rFonts w:ascii="Times New Roman" w:hAnsi="Times New Roman"/>
      <w:sz w:val="24"/>
    </w:rPr>
  </w:style>
  <w:style w:styleId="Style_23" w:type="paragraph">
    <w:name w:val="toc 3"/>
    <w:next w:val="Style_3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FollowedHyperlink"/>
    <w:basedOn w:val="Style_9"/>
    <w:link w:val="Style_24_ch"/>
    <w:rPr>
      <w:color w:val="954F72"/>
      <w:u w:val="single"/>
    </w:rPr>
  </w:style>
  <w:style w:styleId="Style_24_ch" w:type="character">
    <w:name w:val="FollowedHyperlink"/>
    <w:basedOn w:val="Style_9_ch"/>
    <w:link w:val="Style_24"/>
    <w:rPr>
      <w:color w:val="954F72"/>
      <w:u w:val="single"/>
    </w:rPr>
  </w:style>
  <w:style w:styleId="Style_25" w:type="paragraph">
    <w:name w:val="xl66"/>
    <w:basedOn w:val="Style_3"/>
    <w:link w:val="Style_2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_ch" w:type="character">
    <w:name w:val="xl66"/>
    <w:basedOn w:val="Style_3_ch"/>
    <w:link w:val="Style_25"/>
    <w:rPr>
      <w:rFonts w:ascii="Times New Roman" w:hAnsi="Times New Roman"/>
      <w:sz w:val="24"/>
    </w:rPr>
  </w:style>
  <w:style w:styleId="Style_26" w:type="paragraph">
    <w:name w:val="xl65"/>
    <w:basedOn w:val="Style_3"/>
    <w:link w:val="Style_2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6_ch" w:type="character">
    <w:name w:val="xl65"/>
    <w:basedOn w:val="Style_3_ch"/>
    <w:link w:val="Style_26"/>
    <w:rPr>
      <w:rFonts w:ascii="Times New Roman" w:hAnsi="Times New Roman"/>
      <w:sz w:val="24"/>
    </w:rPr>
  </w:style>
  <w:style w:styleId="Style_27" w:type="paragraph">
    <w:name w:val="xl78"/>
    <w:basedOn w:val="Style_3"/>
    <w:link w:val="Style_2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7_ch" w:type="character">
    <w:name w:val="xl78"/>
    <w:basedOn w:val="Style_3_ch"/>
    <w:link w:val="Style_27"/>
    <w:rPr>
      <w:rFonts w:ascii="Times New Roman" w:hAnsi="Times New Roman"/>
      <w:sz w:val="24"/>
    </w:rPr>
  </w:style>
  <w:style w:styleId="Style_28" w:type="paragraph">
    <w:name w:val="heading 5"/>
    <w:next w:val="Style_3"/>
    <w:link w:val="Style_2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8_ch" w:type="character">
    <w:name w:val="heading 5"/>
    <w:link w:val="Style_28"/>
    <w:rPr>
      <w:rFonts w:ascii="XO Thames" w:hAnsi="XO Thames"/>
      <w:b w:val="1"/>
      <w:sz w:val="22"/>
    </w:rPr>
  </w:style>
  <w:style w:styleId="Style_29" w:type="paragraph">
    <w:name w:val="heading 1"/>
    <w:basedOn w:val="Style_3"/>
    <w:next w:val="Style_3"/>
    <w:link w:val="Style_29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29_ch" w:type="character">
    <w:name w:val="heading 1"/>
    <w:basedOn w:val="Style_3_ch"/>
    <w:link w:val="Style_29"/>
    <w:rPr>
      <w:rFonts w:ascii="Arial" w:hAnsi="Arial"/>
      <w:b w:val="1"/>
      <w:color w:val="26282F"/>
      <w:sz w:val="24"/>
    </w:rPr>
  </w:style>
  <w:style w:styleId="Style_30" w:type="paragraph">
    <w:name w:val="xl67"/>
    <w:basedOn w:val="Style_3"/>
    <w:link w:val="Style_3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0_ch" w:type="character">
    <w:name w:val="xl67"/>
    <w:basedOn w:val="Style_3_ch"/>
    <w:link w:val="Style_30"/>
    <w:rPr>
      <w:rFonts w:ascii="Times New Roman" w:hAnsi="Times New Roman"/>
      <w:sz w:val="24"/>
    </w:rPr>
  </w:style>
  <w:style w:styleId="Style_31" w:type="paragraph">
    <w:name w:val="Hyperlink"/>
    <w:basedOn w:val="Style_9"/>
    <w:link w:val="Style_31_ch"/>
    <w:rPr>
      <w:color w:val="0563C1"/>
      <w:u w:val="single"/>
    </w:rPr>
  </w:style>
  <w:style w:styleId="Style_31_ch" w:type="character">
    <w:name w:val="Hyperlink"/>
    <w:basedOn w:val="Style_9_ch"/>
    <w:link w:val="Style_31"/>
    <w:rPr>
      <w:color w:val="0563C1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toc 1"/>
    <w:next w:val="Style_3"/>
    <w:link w:val="Style_3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xl81"/>
    <w:basedOn w:val="Style_3"/>
    <w:link w:val="Style_34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34_ch" w:type="character">
    <w:name w:val="xl81"/>
    <w:basedOn w:val="Style_3_ch"/>
    <w:link w:val="Style_34"/>
    <w:rPr>
      <w:rFonts w:ascii="Times New Roman" w:hAnsi="Times New Roman"/>
      <w:color w:val="000000"/>
      <w:sz w:val="24"/>
    </w:rPr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xl72"/>
    <w:basedOn w:val="Style_3"/>
    <w:link w:val="Style_3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6_ch" w:type="character">
    <w:name w:val="xl72"/>
    <w:basedOn w:val="Style_3_ch"/>
    <w:link w:val="Style_36"/>
    <w:rPr>
      <w:rFonts w:ascii="Times New Roman" w:hAnsi="Times New Roman"/>
      <w:sz w:val="24"/>
    </w:rPr>
  </w:style>
  <w:style w:styleId="Style_37" w:type="paragraph">
    <w:name w:val="xl64"/>
    <w:basedOn w:val="Style_3"/>
    <w:link w:val="Style_3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7_ch" w:type="character">
    <w:name w:val="xl64"/>
    <w:basedOn w:val="Style_3_ch"/>
    <w:link w:val="Style_37"/>
    <w:rPr>
      <w:rFonts w:ascii="Times New Roman" w:hAnsi="Times New Roman"/>
      <w:sz w:val="24"/>
    </w:rPr>
  </w:style>
  <w:style w:styleId="Style_38" w:type="paragraph">
    <w:name w:val="toc 9"/>
    <w:next w:val="Style_3"/>
    <w:link w:val="Style_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footer"/>
    <w:basedOn w:val="Style_3"/>
    <w:link w:val="Style_3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9_ch" w:type="character">
    <w:name w:val="footer"/>
    <w:basedOn w:val="Style_3_ch"/>
    <w:link w:val="Style_39"/>
  </w:style>
  <w:style w:styleId="Style_40" w:type="paragraph">
    <w:name w:val="toc 8"/>
    <w:next w:val="Style_3"/>
    <w:link w:val="Style_4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41" w:type="paragraph">
    <w:name w:val="xl73"/>
    <w:basedOn w:val="Style_3"/>
    <w:link w:val="Style_41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41_ch" w:type="character">
    <w:name w:val="xl73"/>
    <w:basedOn w:val="Style_3_ch"/>
    <w:link w:val="Style_41"/>
    <w:rPr>
      <w:rFonts w:ascii="Times New Roman" w:hAnsi="Times New Roman"/>
      <w:sz w:val="24"/>
    </w:rPr>
  </w:style>
  <w:style w:styleId="Style_42" w:type="paragraph">
    <w:name w:val="xl80"/>
    <w:basedOn w:val="Style_3"/>
    <w:link w:val="Style_42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42_ch" w:type="character">
    <w:name w:val="xl80"/>
    <w:basedOn w:val="Style_3_ch"/>
    <w:link w:val="Style_42"/>
    <w:rPr>
      <w:rFonts w:ascii="Times New Roman" w:hAnsi="Times New Roman"/>
      <w:color w:val="000000"/>
      <w:sz w:val="24"/>
    </w:rPr>
  </w:style>
  <w:style w:styleId="Style_43" w:type="paragraph">
    <w:name w:val="font6"/>
    <w:basedOn w:val="Style_3"/>
    <w:link w:val="Style_43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3_ch" w:type="character">
    <w:name w:val="font6"/>
    <w:basedOn w:val="Style_3_ch"/>
    <w:link w:val="Style_43"/>
    <w:rPr>
      <w:rFonts w:ascii="Times New Roman" w:hAnsi="Times New Roman"/>
      <w:color w:val="000000"/>
    </w:rPr>
  </w:style>
  <w:style w:styleId="Style_44" w:type="paragraph">
    <w:name w:val="toc 5"/>
    <w:next w:val="Style_3"/>
    <w:link w:val="Style_4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4_ch" w:type="character">
    <w:name w:val="toc 5"/>
    <w:link w:val="Style_44"/>
    <w:rPr>
      <w:rFonts w:ascii="XO Thames" w:hAnsi="XO Thames"/>
      <w:sz w:val="28"/>
    </w:rPr>
  </w:style>
  <w:style w:styleId="Style_45" w:type="paragraph">
    <w:name w:val="xl77"/>
    <w:basedOn w:val="Style_3"/>
    <w:link w:val="Style_4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5_ch" w:type="character">
    <w:name w:val="xl77"/>
    <w:basedOn w:val="Style_3_ch"/>
    <w:link w:val="Style_45"/>
    <w:rPr>
      <w:rFonts w:ascii="Times New Roman" w:hAnsi="Times New Roman"/>
      <w:sz w:val="24"/>
    </w:rPr>
  </w:style>
  <w:style w:styleId="Style_46" w:type="paragraph">
    <w:name w:val="Balloon Text"/>
    <w:basedOn w:val="Style_3"/>
    <w:link w:val="Style_46_ch"/>
    <w:pPr>
      <w:spacing w:after="0" w:line="240" w:lineRule="auto"/>
      <w:ind/>
    </w:pPr>
    <w:rPr>
      <w:rFonts w:ascii="Segoe UI" w:hAnsi="Segoe UI"/>
      <w:sz w:val="18"/>
    </w:rPr>
  </w:style>
  <w:style w:styleId="Style_46_ch" w:type="character">
    <w:name w:val="Balloon Text"/>
    <w:basedOn w:val="Style_3_ch"/>
    <w:link w:val="Style_46"/>
    <w:rPr>
      <w:rFonts w:ascii="Segoe UI" w:hAnsi="Segoe UI"/>
      <w:sz w:val="18"/>
    </w:rPr>
  </w:style>
  <w:style w:styleId="Style_47" w:type="paragraph">
    <w:name w:val="Subtitle"/>
    <w:next w:val="Style_3"/>
    <w:link w:val="Style_4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7_ch" w:type="character">
    <w:name w:val="Subtitle"/>
    <w:link w:val="Style_47"/>
    <w:rPr>
      <w:rFonts w:ascii="XO Thames" w:hAnsi="XO Thames"/>
      <w:i w:val="1"/>
      <w:sz w:val="24"/>
    </w:rPr>
  </w:style>
  <w:style w:styleId="Style_48" w:type="paragraph">
    <w:name w:val="font5"/>
    <w:basedOn w:val="Style_3"/>
    <w:link w:val="Style_48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8_ch" w:type="character">
    <w:name w:val="font5"/>
    <w:basedOn w:val="Style_3_ch"/>
    <w:link w:val="Style_48"/>
    <w:rPr>
      <w:rFonts w:ascii="Times New Roman" w:hAnsi="Times New Roman"/>
      <w:color w:val="000000"/>
    </w:rPr>
  </w:style>
  <w:style w:styleId="Style_49" w:type="paragraph">
    <w:name w:val="Title"/>
    <w:next w:val="Style_3"/>
    <w:link w:val="Style_4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9_ch" w:type="character">
    <w:name w:val="Title"/>
    <w:link w:val="Style_49"/>
    <w:rPr>
      <w:rFonts w:ascii="XO Thames" w:hAnsi="XO Thames"/>
      <w:b w:val="1"/>
      <w:caps w:val="1"/>
      <w:sz w:val="40"/>
    </w:rPr>
  </w:style>
  <w:style w:styleId="Style_50" w:type="paragraph">
    <w:name w:val="heading 4"/>
    <w:next w:val="Style_3"/>
    <w:link w:val="Style_5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0_ch" w:type="character">
    <w:name w:val="heading 4"/>
    <w:link w:val="Style_50"/>
    <w:rPr>
      <w:rFonts w:ascii="XO Thames" w:hAnsi="XO Thames"/>
      <w:b w:val="1"/>
      <w:sz w:val="24"/>
    </w:rPr>
  </w:style>
  <w:style w:styleId="Style_51" w:type="paragraph">
    <w:name w:val="heading 2"/>
    <w:next w:val="Style_3"/>
    <w:link w:val="Style_5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1_ch" w:type="character">
    <w:name w:val="heading 2"/>
    <w:link w:val="Style_5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2025-04-23T04:24:37Z</dcterms:modified>
</cp:coreProperties>
</file>