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DF" w:rsidRPr="00851DF4" w:rsidRDefault="0008060A" w:rsidP="00851DF4">
      <w:pPr>
        <w:pStyle w:val="aff2"/>
        <w:spacing w:before="0" w:beforeAutospacing="0" w:after="0" w:afterAutospacing="0"/>
        <w:ind w:left="5102" w:hanging="566"/>
        <w:rPr>
          <w:color w:val="000000"/>
          <w:sz w:val="32"/>
          <w:szCs w:val="32"/>
        </w:rPr>
      </w:pPr>
      <w:r w:rsidRPr="00851DF4">
        <w:rPr>
          <w:color w:val="000000"/>
          <w:sz w:val="28"/>
          <w:szCs w:val="28"/>
        </w:rPr>
        <w:t>Приложение № 1</w:t>
      </w:r>
    </w:p>
    <w:p w:rsidR="00DF05E6" w:rsidRPr="00851DF4" w:rsidRDefault="00DF05E6" w:rsidP="00851DF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851DF4">
        <w:rPr>
          <w:rFonts w:ascii="Times New Roman" w:hAnsi="Times New Roman" w:cs="Times New Roman"/>
          <w:sz w:val="28"/>
          <w:szCs w:val="28"/>
        </w:rPr>
        <w:t xml:space="preserve">положению о муниципальном этапе </w:t>
      </w:r>
    </w:p>
    <w:p w:rsidR="00DF05E6" w:rsidRPr="00851DF4" w:rsidRDefault="00DF05E6" w:rsidP="00851DF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851DF4">
        <w:rPr>
          <w:rFonts w:ascii="Times New Roman" w:hAnsi="Times New Roman" w:cs="Times New Roman"/>
          <w:sz w:val="28"/>
          <w:szCs w:val="28"/>
        </w:rPr>
        <w:t xml:space="preserve">смотра-конкурса учебно-материальной базы </w:t>
      </w:r>
    </w:p>
    <w:p w:rsidR="00DF05E6" w:rsidRPr="00851DF4" w:rsidRDefault="00DF05E6" w:rsidP="00851DF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851DF4">
        <w:rPr>
          <w:rFonts w:ascii="Times New Roman" w:hAnsi="Times New Roman" w:cs="Times New Roman"/>
          <w:sz w:val="28"/>
          <w:szCs w:val="28"/>
        </w:rPr>
        <w:t xml:space="preserve">по гражданской обороне и </w:t>
      </w:r>
    </w:p>
    <w:p w:rsidR="00DF05E6" w:rsidRPr="00851DF4" w:rsidRDefault="00DF05E6" w:rsidP="00851DF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851DF4">
        <w:rPr>
          <w:rFonts w:ascii="Times New Roman" w:hAnsi="Times New Roman" w:cs="Times New Roman"/>
          <w:sz w:val="28"/>
          <w:szCs w:val="28"/>
        </w:rPr>
        <w:t>чрез</w:t>
      </w:r>
      <w:bookmarkStart w:id="0" w:name="_GoBack"/>
      <w:bookmarkEnd w:id="0"/>
      <w:r w:rsidRPr="00851DF4">
        <w:rPr>
          <w:rFonts w:ascii="Times New Roman" w:hAnsi="Times New Roman" w:cs="Times New Roman"/>
          <w:sz w:val="28"/>
          <w:szCs w:val="28"/>
        </w:rPr>
        <w:t>вычайным ситуациям организаций</w:t>
      </w:r>
    </w:p>
    <w:p w:rsidR="00DF05E6" w:rsidRPr="00851DF4" w:rsidRDefault="00DF05E6" w:rsidP="00851DF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851DF4">
        <w:rPr>
          <w:rFonts w:ascii="Times New Roman" w:hAnsi="Times New Roman" w:cs="Times New Roman"/>
          <w:sz w:val="28"/>
          <w:szCs w:val="28"/>
        </w:rPr>
        <w:t>города Магнитогорска в 2025 году</w:t>
      </w:r>
    </w:p>
    <w:p w:rsidR="002F1DDF" w:rsidRPr="00851DF4" w:rsidRDefault="002F1DDF">
      <w:pPr>
        <w:pStyle w:val="aff2"/>
        <w:spacing w:before="0" w:beforeAutospacing="0" w:after="0" w:afterAutospacing="0"/>
      </w:pPr>
    </w:p>
    <w:p w:rsidR="002F1DDF" w:rsidRPr="00851DF4" w:rsidRDefault="002F1DDF">
      <w:pPr>
        <w:pStyle w:val="aff2"/>
        <w:spacing w:before="0" w:beforeAutospacing="0" w:after="0" w:afterAutospacing="0"/>
      </w:pPr>
    </w:p>
    <w:p w:rsidR="002F1DDF" w:rsidRPr="00851DF4" w:rsidRDefault="002F1DDF">
      <w:pPr>
        <w:pStyle w:val="aff2"/>
        <w:spacing w:before="0" w:beforeAutospacing="0" w:after="0" w:afterAutospacing="0"/>
      </w:pPr>
    </w:p>
    <w:p w:rsidR="00851DF4" w:rsidRPr="00851DF4" w:rsidRDefault="00851DF4">
      <w:pPr>
        <w:pStyle w:val="aff2"/>
        <w:spacing w:before="0" w:beforeAutospacing="0" w:after="0" w:afterAutospacing="0"/>
      </w:pPr>
    </w:p>
    <w:p w:rsidR="00851DF4" w:rsidRPr="00851DF4" w:rsidRDefault="00851DF4">
      <w:pPr>
        <w:pStyle w:val="aff2"/>
        <w:spacing w:before="0" w:beforeAutospacing="0" w:after="0" w:afterAutospacing="0"/>
      </w:pPr>
    </w:p>
    <w:p w:rsidR="002F1DDF" w:rsidRPr="00851DF4" w:rsidRDefault="0008060A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851DF4">
        <w:rPr>
          <w:sz w:val="28"/>
          <w:szCs w:val="28"/>
        </w:rPr>
        <w:t>ОЦЕНОЧНЫЙ ЛИСТ</w:t>
      </w:r>
    </w:p>
    <w:p w:rsidR="002F1DDF" w:rsidRPr="00851DF4" w:rsidRDefault="0008060A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851DF4">
        <w:rPr>
          <w:sz w:val="28"/>
          <w:szCs w:val="28"/>
        </w:rPr>
        <w:t>на лучшую учебно-материальную базу ГОЧС</w:t>
      </w:r>
    </w:p>
    <w:p w:rsidR="002F1DDF" w:rsidRPr="00851DF4" w:rsidRDefault="0008060A">
      <w:pPr>
        <w:pStyle w:val="aff2"/>
        <w:spacing w:before="0" w:beforeAutospacing="0" w:after="0" w:afterAutospacing="0"/>
        <w:jc w:val="center"/>
        <w:rPr>
          <w:sz w:val="28"/>
          <w:szCs w:val="28"/>
        </w:rPr>
      </w:pPr>
      <w:r w:rsidRPr="00851DF4">
        <w:rPr>
          <w:sz w:val="28"/>
          <w:szCs w:val="28"/>
        </w:rPr>
        <w:t>объекта экономики</w:t>
      </w:r>
    </w:p>
    <w:p w:rsidR="002F1DDF" w:rsidRPr="00851DF4" w:rsidRDefault="002F1DDF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1DDF" w:rsidRPr="00851DF4" w:rsidRDefault="0008060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1DF4">
        <w:rPr>
          <w:rFonts w:ascii="Times New Roman" w:hAnsi="Times New Roman" w:cs="Times New Roman"/>
        </w:rPr>
        <w:t>полное наименование организации</w:t>
      </w:r>
    </w:p>
    <w:p w:rsidR="002F1DDF" w:rsidRPr="00851DF4" w:rsidRDefault="002F1DD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6746"/>
        <w:gridCol w:w="737"/>
        <w:gridCol w:w="1786"/>
      </w:tblGrid>
      <w:tr w:rsidR="002F1DDF" w:rsidRPr="00851DF4">
        <w:trPr>
          <w:trHeight w:val="682"/>
          <w:tblHeader/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center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Наименование учебно-методической литературы, учебного имущества и оборудования</w:t>
            </w:r>
          </w:p>
        </w:tc>
        <w:tc>
          <w:tcPr>
            <w:tcW w:w="7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Баллы**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F1DDF" w:rsidRPr="00851DF4">
        <w:trPr>
          <w:tblHeader/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center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Планово-отчётная документация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Приказ руководителя организации об организации подготовки работников, личного состава НАСФ (НФГО) (при наличии формирований) по вопросам ГО и защите от ЧС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 xml:space="preserve">Приказ руководителя организации «Об итогах подготовки по ГО и защите от ЧС за 2024 и задачах на 2025 учебный год» 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pStyle w:val="aff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Наличие разработанных и утвержденных руководителем организации программ курсового обучения личного состава спасательных служб, личного состава НАСФ, личного состава НФГО (при наличии служб и формирований в организации)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программы проведения с работниками организации вводного инструктажа по гражданской обороне, ежегодного и при приеме на работу инструктажей по действиям в ЧС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основных мероприятий по вопросам ГО, предупреждения и ликвидации ЧС и ОПБ на 2025 год с указанием подраздела «Подготовка работников организации в области ГО и защиты от ЧС»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Расписания занятий по ГО и защите от ЧС для каждой учебной группы на год (для курсового обучения личного состава формирований и служб)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Регистры (списки) подготовки должностных лиц и специалистов ГОЧС организации в отделе «УМЦ» ОГКУ «ЦГО» и курсах ГО 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Журналы учёта посещаемости и успеваемости учебных групп на 2025 г.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Перспективный и годовой план совершенствования УМБ по ГОЧС организации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Конспекты руководителей служб и формирований для проведения занятий по програм</w:t>
            </w:r>
            <w:r w:rsidR="008D0B65"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мам курсового обучения </w:t>
            </w: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личного состава спасательных служб, НАСФ или НФГО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Вербальные средства обучения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iCs/>
                <w:sz w:val="24"/>
                <w:szCs w:val="24"/>
              </w:rPr>
              <w:t>Нормативные правовые документы: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</w:t>
            </w:r>
          </w:p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 комментариями для понимания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гражданской обороне»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аварийно-спасательных службах и статусе спасателей»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18 сентября 2020 г. № 1485 «Об утверждении Положения о подготовке граждан РФ, иностранных граждан и лиц без гражданства в области защиты от чрезвычайных ситуаций природного и техногенного характера»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 ноября 2000 г. № 841 «Об утверждении положения об организации обучения населения в области гражданской обороны»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Учебная литература: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pStyle w:val="aff1"/>
              <w:ind w:left="0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Камышанский М.И. и др. Организация работы комиссий по предупреждению и ликвидации ЧС и обеспечения пожарной безопасности. – М.: ИРБ, 2013.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Афлятунов Т.И. и др. Действия пожарных, спасателей и участников дорожного движения при ликвидации последствий дорожно-транспортных происшествий. – М.: ИРБ, 2012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 работающего населения: пособие для самостоятельного изучения.-3-е изд., перераб. и доп. –М.:ООО «ТЕРМИКА.РУ», 2018.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Курсовое обучение работающего населения в области гражданской обороны и защиты от чрезвычайных ситуаций.  – М.: ИРБ, 2018.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Памятки по действиям населения в различных ЧС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вид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Другое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вид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Визуальные средства обучения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2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Плакаты</w:t>
            </w:r>
            <w:r w:rsidRPr="00851DF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Единая система предупреждения и ликвидации чрезвычайных ситуаций (РСЧС)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оборона Российской Федерации 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Виды ЧС, причины их возникновения, основные характеристики, поражающие факторы. Характерные особенности экологической и техногенной обстановки в регионе и на территории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Опасности, возникающие при ведении военных действий или вследствие этих действий, способы защиты от них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населения при авариях и катастрофах 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Аварии на газонефтепроводах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Аварии на радиационно опасных объектах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Аварии на химически опасных объектах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Действия населения при стихийных бедствиях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Тушение пожаров. Приемы и способы спасения людей при пожарах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Первая помощь при чрезвычайных ситуациях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Лечебно-эвакуационное обеспечение населения в чрезвычайных ситуациях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Охрана труда на объекте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Радиация вокруг нас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Радиационная и химическая защита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Защитные сооружения гражданской обороны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дыхания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Средства радиационного и химического контроля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Средства дезактивации и дегазации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Умей действовать при пожаре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 xml:space="preserve">Меры пожарной безопасности в сельском населенном пункте 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на объекте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Добровольная пожарная дружина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Уголок гражданской защиты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Терроризм – угроза обществу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Безопасность людей на водных объектах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Единый телефон пожарных и спасателей 01, 112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Макеты: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Макет простейшего укрытия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Макет быстровозводимого убежища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 каждый 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Макет защитного сооружения ГО (убежища, ПРУ)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Манекены: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Манекены в полный рост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Манекены головы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Слайды: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Единая система предупреждения и ликвидации чрезвычайных ситуаций (РСЧС)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Виды чрезвычайных ситуаций, причины их возникновения, основные характеристики, поражающие факторы. Характерные особенности экологической и техногенной обстановки в регионе и на территории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Опасности, возникающие при ведении военных действий или вследствие этих действий, способы защиты от них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Тушение пожаров. Приемы и способы спасения людей при пожарах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 xml:space="preserve">Лечебно-эвакуационное обеспечение населения в </w:t>
            </w:r>
            <w:r w:rsidRPr="00851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ситуациях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Техника, механизмы и приборы, состоящие на оснащении формирований ГО. Назначение, технические данные и порядок применения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2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Технические</w:t>
            </w:r>
            <w:r w:rsidRPr="00851DF4">
              <w:rPr>
                <w:sz w:val="24"/>
                <w:szCs w:val="24"/>
                <w:lang w:val="ru-RU"/>
              </w:rPr>
              <w:t xml:space="preserve"> </w:t>
            </w:r>
            <w:r w:rsidRPr="00851DF4">
              <w:rPr>
                <w:sz w:val="24"/>
                <w:szCs w:val="24"/>
              </w:rPr>
              <w:t>средства</w:t>
            </w:r>
            <w:r w:rsidRPr="00851DF4">
              <w:rPr>
                <w:sz w:val="24"/>
                <w:szCs w:val="24"/>
                <w:lang w:val="ru-RU"/>
              </w:rPr>
              <w:t xml:space="preserve"> </w:t>
            </w:r>
            <w:r w:rsidRPr="00851DF4">
              <w:rPr>
                <w:sz w:val="24"/>
                <w:szCs w:val="24"/>
              </w:rPr>
              <w:t>обучения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2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Приборы</w:t>
            </w:r>
            <w:r w:rsidRPr="00851DF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Рентгенометр ДП-5В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Прибор химической разведки ВПХР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Дозиметры-радиометры: ДРБП-03, ДКГ-03Д «Грач», ДБГБ-01И «Белла", ДКГ-02У «Арбитр», ДКС-96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pStyle w:val="aff"/>
              <w:jc w:val="both"/>
            </w:pPr>
            <w:r w:rsidRPr="00851DF4">
              <w:t>Комплекты измерителей дозы: ДП-22В, ИД-1, ИД-02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Индивидуальный измеритель дозы ИД-11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Индивидуальные дозиметры: ДКГ-05Б, ДКГ РМ-1621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Комплект мини-экспресс-лаборатория «Пчелка-У»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Универсальный прибор газового контроля УПГК-ЛИМБ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Комплект отбора проб КПО-1М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Комплект аварийно-спасательного инструмента: «Спрут», «Медведь», «</w:t>
            </w: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Holmatro</w:t>
            </w: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»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дыхания: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Ватно-марлевые повязки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Противопылевые тканевые маски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Респираторы типа ШБ-1 «Лепесток-200», У-2К, РПА-1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Газодымозащитный респиратор ГДЗР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Самоспасатель СПИ-20, СПИ-50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 xml:space="preserve">Противогазы типа ГП-7, ГП-7Б, ГП-7ВМ, ГП-9 ПДФ-2Д, </w:t>
            </w:r>
            <w:r w:rsidRPr="00851DF4">
              <w:rPr>
                <w:rFonts w:ascii="Times New Roman" w:hAnsi="Times New Roman" w:cs="Times New Roman"/>
                <w:sz w:val="24"/>
                <w:szCs w:val="24"/>
              </w:rPr>
              <w:br/>
              <w:t>ПДФ-2Ш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Средства защиты кожи: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Костюм изолирующий химический КИХ-4М и др.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Защитная фильтрующая одежда ЗФО-58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Костюм защитный Л-1, ОЗК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Медицинское имущество: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Аптечка противоожоговая «Фарм+газ»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Аптечка индивидуальная носимая АИ-Н-2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Аптечка индивидуальная АИ-2, АИ-4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Аптечка первой помощи офисная «СТС»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Комплект «Аптечка первой помощи»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Пакет перевязочный индивидуальный ИПП-1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Пакет перевязочный медицинский ППМ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Пакет противохимический: ИПП-8, ИПП-10, ИПП-11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Комплект индивидуальный медицинской гражданской защиты (КИМГЗ)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Комплект медицинских средств индивидуальной защиты (МСИЗ)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Индивидуальный дегазационный пакет (ИДП и др.)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Сумка санитарная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Пожарное имущество: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Образцы огнетушителей всех типов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Первичные средства пожаротушения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Средства связи и оповещения: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Электромегафон с сиреной оповещения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pStyle w:val="2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Тренажеры: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Робот-тренажер взрослый для отработки навыков в оказании первой помощи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pStyle w:val="2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Информационные</w:t>
            </w:r>
            <w:r w:rsidRPr="00851DF4">
              <w:rPr>
                <w:sz w:val="24"/>
                <w:szCs w:val="24"/>
                <w:lang w:val="ru-RU"/>
              </w:rPr>
              <w:t xml:space="preserve"> </w:t>
            </w:r>
            <w:r w:rsidRPr="00851DF4">
              <w:rPr>
                <w:sz w:val="24"/>
                <w:szCs w:val="24"/>
              </w:rPr>
              <w:t>средства</w:t>
            </w:r>
            <w:r w:rsidRPr="00851DF4">
              <w:rPr>
                <w:sz w:val="24"/>
                <w:szCs w:val="24"/>
                <w:lang w:val="ru-RU"/>
              </w:rPr>
              <w:t xml:space="preserve"> </w:t>
            </w:r>
            <w:r w:rsidRPr="00851DF4">
              <w:rPr>
                <w:sz w:val="24"/>
                <w:szCs w:val="24"/>
              </w:rPr>
              <w:t>обучения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pStyle w:val="2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Аудио-, видео-, проекционная</w:t>
            </w:r>
            <w:r w:rsidRPr="00851DF4">
              <w:rPr>
                <w:sz w:val="24"/>
                <w:szCs w:val="24"/>
                <w:lang w:val="ru-RU"/>
              </w:rPr>
              <w:t xml:space="preserve"> </w:t>
            </w:r>
            <w:r w:rsidRPr="00851DF4">
              <w:rPr>
                <w:sz w:val="24"/>
                <w:szCs w:val="24"/>
              </w:rPr>
              <w:t>аппаратура: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Телевизор, видеоаппаратура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 xml:space="preserve">Слайд-проектор 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(планшетный ПК) ноутбук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Экран настенный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Мультимедийная (интерактивная) доска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Мультимедийный плеер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МФУ (принтер+сканер+копир)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2"/>
              <w:jc w:val="both"/>
              <w:rPr>
                <w:sz w:val="24"/>
                <w:szCs w:val="24"/>
                <w:lang w:val="ru-RU"/>
              </w:rPr>
            </w:pPr>
            <w:r w:rsidRPr="00851DF4">
              <w:rPr>
                <w:sz w:val="24"/>
                <w:szCs w:val="24"/>
                <w:lang w:val="ru-RU"/>
              </w:rPr>
              <w:t>Аудиовизуальные материалы. Согласно рекомендуемому перечню аудиовизуальных материалов для  использования в учебном процессе («О примерном порядке определения состава учебно-материальной базы»…Таблица 4-перечислить материалы)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Элементы учебно-материальной базы ГОЧС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trHeight w:val="1599"/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Многопрофильный учебный кабинет (класс):</w:t>
            </w:r>
          </w:p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(В состав учебного кабинета входят: рабочее место преподавателя, интерактивная доска и экран, рабочие места обучаемых и средства обеспечения учебного процесса, в том числе тренажеры, макеты, имитаторы)</w:t>
            </w:r>
          </w:p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- оснащен на 30-50 %</w:t>
            </w:r>
          </w:p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- оснащен на 70 – 80 %</w:t>
            </w:r>
          </w:p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-оснащен на 90- 100%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наличие кабинета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Оснащенное компьютером рабочее место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каждое место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Стенды информационные: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действия личного состава аварийно-спасательных формирований при приведении в готовность, выдвижении в район сбора и выполнении АСДНР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характеристики и порядок применения аварийно-спасательных инструментов, оборудования и снаряжения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7.1.3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Другие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7.1.4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Витрина с образцами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каждую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7.1.5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Образцы аварийно-спасательных инструментов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iCs/>
                <w:sz w:val="24"/>
                <w:szCs w:val="24"/>
              </w:rPr>
              <w:t>за каждый тип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Уголок ГОЧС (по одному в каждом административном и производственном здании 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каждый, располагается вне кабинета (класса)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Переносной комплект средств для проведения занятий по ГО и защите от ЧС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Стенд информационный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каждый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Учебные площадки: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7.4.1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«Радиационной, химической защиты и противопожарной подготовки» (оборудуются согласно п.6.4.2 «Примерного порядка определения состава учебно-материальной базы</w:t>
            </w:r>
            <w:r w:rsidRPr="00851DF4">
              <w:rPr>
                <w:sz w:val="24"/>
                <w:szCs w:val="24"/>
              </w:rPr>
              <w:t>»</w:t>
            </w: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наличие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Учебные места: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 xml:space="preserve"> «Средства индивидуальной защиты органов дыхания и кожи»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«Первичные средства пожаротушения и пожарный инвентарь»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«Приемы и способы тушения очагов возгорания»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Другие места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каждое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7.4.2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Другие площадки (перечислить)*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каждую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Объекты ГО  и объекты организации , используемые в качестве учебных объектов, имеющие необходимое оборудование, средства связи и оповещения 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 xml:space="preserve">Убежище 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каждое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противорадиационные укрытия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каждое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 xml:space="preserve">специализированные складские помещения для хранения имущества ГО 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санитарно-обмывочные пункты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каждое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pStyle w:val="1"/>
              <w:jc w:val="both"/>
              <w:rPr>
                <w:sz w:val="24"/>
                <w:szCs w:val="24"/>
              </w:rPr>
            </w:pPr>
            <w:r w:rsidRPr="00851DF4">
              <w:rPr>
                <w:sz w:val="24"/>
                <w:szCs w:val="24"/>
              </w:rPr>
              <w:t>Другие (перечислить)*</w:t>
            </w:r>
          </w:p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(простейшие укрытия (подвальные помещения, ямы и т.д.) не учитывать)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за каждое</w:t>
            </w:r>
          </w:p>
        </w:tc>
      </w:tr>
      <w:tr w:rsidR="002F1DDF" w:rsidRPr="00851DF4">
        <w:trPr>
          <w:jc w:val="center"/>
        </w:trPr>
        <w:tc>
          <w:tcPr>
            <w:tcW w:w="66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F1DDF" w:rsidRPr="00851DF4" w:rsidRDefault="00080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3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080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F4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  <w:tc>
          <w:tcPr>
            <w:tcW w:w="178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F1DDF" w:rsidRPr="00851DF4" w:rsidRDefault="002F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1DDF" w:rsidRPr="00851DF4" w:rsidRDefault="0008060A">
      <w:pPr>
        <w:pStyle w:val="afd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851DF4">
        <w:rPr>
          <w:sz w:val="28"/>
          <w:szCs w:val="28"/>
        </w:rPr>
        <w:t>_______</w:t>
      </w:r>
    </w:p>
    <w:p w:rsidR="002F1DDF" w:rsidRPr="00851DF4" w:rsidRDefault="0008060A">
      <w:pPr>
        <w:pStyle w:val="afd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51DF4">
        <w:rPr>
          <w:sz w:val="24"/>
          <w:szCs w:val="24"/>
        </w:rPr>
        <w:t>* Оформляется единым приложением к оценочному листу. Является дополнением и предоставляется вместе с оценочным листом.</w:t>
      </w:r>
    </w:p>
    <w:p w:rsidR="002F1DDF" w:rsidRPr="00851DF4" w:rsidRDefault="0008060A">
      <w:pPr>
        <w:pStyle w:val="afd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51DF4">
        <w:rPr>
          <w:sz w:val="24"/>
          <w:szCs w:val="24"/>
        </w:rPr>
        <w:t>** Если элемент УМБ, указанный в столбце 2 отсутствует, то в соответствующей ячейке столбца 3 ставится ноль баллов.</w:t>
      </w:r>
    </w:p>
    <w:p w:rsidR="002F1DDF" w:rsidRPr="00851DF4" w:rsidRDefault="002F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DDF" w:rsidRPr="00851DF4" w:rsidRDefault="002F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DDF" w:rsidRPr="00851DF4" w:rsidRDefault="002F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DDF" w:rsidRPr="00851DF4" w:rsidRDefault="0008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DF4">
        <w:rPr>
          <w:rFonts w:ascii="Times New Roman" w:hAnsi="Times New Roman" w:cs="Times New Roman"/>
          <w:sz w:val="28"/>
          <w:szCs w:val="28"/>
        </w:rPr>
        <w:t>Председатель комиссии _________________________________________________</w:t>
      </w:r>
    </w:p>
    <w:p w:rsidR="002F1DDF" w:rsidRPr="00851DF4" w:rsidRDefault="002F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DDF" w:rsidRPr="00851DF4" w:rsidRDefault="0008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DF4">
        <w:rPr>
          <w:rFonts w:ascii="Times New Roman" w:hAnsi="Times New Roman" w:cs="Times New Roman"/>
          <w:sz w:val="28"/>
          <w:szCs w:val="28"/>
        </w:rPr>
        <w:t>Члены комиссии _______________________________________________________</w:t>
      </w:r>
    </w:p>
    <w:p w:rsidR="002F1DDF" w:rsidRPr="00851DF4" w:rsidRDefault="0008060A">
      <w:pPr>
        <w:jc w:val="both"/>
        <w:rPr>
          <w:rFonts w:ascii="Times New Roman" w:hAnsi="Times New Roman" w:cs="Times New Roman"/>
          <w:sz w:val="28"/>
          <w:szCs w:val="28"/>
        </w:rPr>
      </w:pPr>
      <w:r w:rsidRPr="00851DF4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_______________________________________________________</w:t>
      </w:r>
    </w:p>
    <w:sectPr w:rsidR="002F1DDF" w:rsidRPr="00851D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84B" w:rsidRDefault="00C2484B">
      <w:pPr>
        <w:spacing w:after="0" w:line="240" w:lineRule="auto"/>
      </w:pPr>
      <w:r>
        <w:separator/>
      </w:r>
    </w:p>
  </w:endnote>
  <w:endnote w:type="continuationSeparator" w:id="0">
    <w:p w:rsidR="00C2484B" w:rsidRDefault="00C24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DDF" w:rsidRDefault="002F1DDF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DDF" w:rsidRDefault="002F1DDF">
    <w:pPr>
      <w:pStyle w:val="af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DDF" w:rsidRDefault="002F1DDF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84B" w:rsidRDefault="00C2484B">
      <w:pPr>
        <w:spacing w:after="0" w:line="240" w:lineRule="auto"/>
      </w:pPr>
      <w:r>
        <w:separator/>
      </w:r>
    </w:p>
  </w:footnote>
  <w:footnote w:type="continuationSeparator" w:id="0">
    <w:p w:rsidR="00C2484B" w:rsidRDefault="00C24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DDF" w:rsidRDefault="002F1DDF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92157"/>
      <w:docPartObj>
        <w:docPartGallery w:val="Page Numbers (Top of Page)"/>
        <w:docPartUnique/>
      </w:docPartObj>
    </w:sdtPr>
    <w:sdtEndPr/>
    <w:sdtContent>
      <w:p w:rsidR="002F1DDF" w:rsidRDefault="0008060A">
        <w:pPr>
          <w:pStyle w:val="af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DF4">
          <w:rPr>
            <w:noProof/>
          </w:rPr>
          <w:t>2</w:t>
        </w:r>
        <w:r>
          <w:fldChar w:fldCharType="end"/>
        </w:r>
      </w:p>
    </w:sdtContent>
  </w:sdt>
  <w:p w:rsidR="002F1DDF" w:rsidRDefault="002F1DDF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DDF" w:rsidRDefault="002F1DDF">
    <w:pPr>
      <w:pStyle w:val="af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DF"/>
    <w:rsid w:val="0008060A"/>
    <w:rsid w:val="002F1DDF"/>
    <w:rsid w:val="00851DF4"/>
    <w:rsid w:val="008D0B65"/>
    <w:rsid w:val="00B23B26"/>
    <w:rsid w:val="00C2484B"/>
    <w:rsid w:val="00DF0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3717"/>
  <w15:docId w15:val="{B35CF3D9-0ADE-4D07-8BE8-880BBB0B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c">
    <w:name w:val="No Spacing"/>
    <w:basedOn w:val="a"/>
    <w:uiPriority w:val="1"/>
    <w:qFormat/>
    <w:pPr>
      <w:spacing w:after="0" w:line="240" w:lineRule="auto"/>
    </w:pPr>
  </w:style>
  <w:style w:type="character" w:styleId="ad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1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2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3">
    <w:name w:val="footnote text"/>
    <w:basedOn w:val="a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a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b">
    <w:name w:val="TOC Heading"/>
    <w:uiPriority w:val="39"/>
    <w:unhideWhenUsed/>
  </w:style>
  <w:style w:type="paragraph" w:styleId="afc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fd">
    <w:name w:val="header"/>
    <w:basedOn w:val="a"/>
    <w:link w:val="afe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Верхний колонтитул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ff">
    <w:name w:val="footer"/>
    <w:basedOn w:val="a"/>
    <w:link w:val="aff0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Нижний колонтитул Знак"/>
    <w:basedOn w:val="a0"/>
    <w:link w:val="aff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ff1">
    <w:name w:val="List Paragraph"/>
    <w:basedOn w:val="a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ff2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Body Text Indent"/>
    <w:basedOn w:val="a"/>
    <w:link w:val="aff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Основной текст с отступом Знак"/>
    <w:basedOn w:val="a0"/>
    <w:link w:val="aff3"/>
    <w:rPr>
      <w:rFonts w:ascii="Times New Roman" w:eastAsia="Times New Roman" w:hAnsi="Times New Roman" w:cs="Times New Roman"/>
      <w:sz w:val="20"/>
      <w:szCs w:val="20"/>
    </w:rPr>
  </w:style>
  <w:style w:type="paragraph" w:styleId="aff5">
    <w:name w:val="Balloon Text"/>
    <w:basedOn w:val="a"/>
    <w:link w:val="aff6"/>
    <w:uiPriority w:val="99"/>
    <w:semiHidden/>
    <w:unhideWhenUsed/>
    <w:rsid w:val="00851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0"/>
    <w:link w:val="aff5"/>
    <w:uiPriority w:val="99"/>
    <w:semiHidden/>
    <w:rsid w:val="00851D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1741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people</dc:creator>
  <cp:lastModifiedBy>Темникова Татьяна Викторовна</cp:lastModifiedBy>
  <cp:revision>23</cp:revision>
  <cp:lastPrinted>2025-04-16T09:10:00Z</cp:lastPrinted>
  <dcterms:created xsi:type="dcterms:W3CDTF">2022-03-03T09:59:00Z</dcterms:created>
  <dcterms:modified xsi:type="dcterms:W3CDTF">2025-04-16T09:10:00Z</dcterms:modified>
</cp:coreProperties>
</file>